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西南医科大学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2020年诚聘海内外英才</w:t>
      </w:r>
    </w:p>
    <w:p>
      <w:pPr>
        <w:spacing w:line="54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西南医科大学是四川省省属普通高等院校，坐落在川滇黔渝结合部的泸州。泸州，是“国家历史文化名城”“全国双拥模范城”“国家卫生城市”“中国优秀旅游城市”“国家森林城市”“国家园林城市”“全国文明城市”。</w:t>
      </w:r>
    </w:p>
    <w:p>
      <w:pPr>
        <w:spacing w:line="54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西南医科大学现有31个普通本科专业，涵盖医学、理学、工学、管理学、教育学、文学、法学等7个学科门类，有国家级特色专业3个，省级特色专业3个，省级应用型示范专业5个，省级一流本科专业建设点11个。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>学校承担了国家级卓越医生教育培养计划项目、卓越医生（中医）教育培养计划项目，是国家级临床医学专业综合改革试点、全国首批临床医学硕士专业学位研究生培养模式改革试点高校，四川省首批卓越法律人才教育培养计划示范性实践教学基地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有各级各类科研平台59个，其中教育部重点实验室1个，国家级博士后科研工作站1个，国家药物临床试验机构1个，省级重点实验室2个，四川省国际合作基地、工程实验室各1个，四川省2011协同创新中心1 个，院士（专家）工作站3个。近3年获批厅局级及以上科技创新团队30个、科技创新平台10个，获省部级以上科技成果奖21项。</w:t>
      </w:r>
    </w:p>
    <w:p>
      <w:pPr>
        <w:spacing w:line="54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学校有3所直属附属医院，有国家临床教学培训示范中心1个、国家级大学生校外实践教学基地1个，有国家级、省部级医学重点学科（专科）35个、是国家级“胸痛中心”“高级卒中中心”“心衰中心”、国家中医临床研究基地建设单位、四川省妇科及乳腺疾病治疗中心，是国家卫健委冠心病介入培训基地，建成了中国-葡语系国家和地区中医药国际合作基地，作为西南四省（市）结合区域的省级医疗中心，为川渝滇黔结合区域近4000万人民健康保驾护航。</w:t>
      </w:r>
    </w:p>
    <w:p>
      <w:pPr>
        <w:spacing w:line="54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现面向海内外诚聘各类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single"/>
        </w:rPr>
        <w:t>博士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英才（年龄一般不超过45周岁），具体如下：</w:t>
      </w:r>
    </w:p>
    <w:p>
      <w:pPr>
        <w:spacing w:line="540" w:lineRule="exact"/>
        <w:ind w:firstLine="562" w:firstLineChars="200"/>
        <w:rPr>
          <w:rFonts w:asciiTheme="majorEastAsia" w:hAnsiTheme="majorEastAsia" w:eastAsiaTheme="majorEastAsia" w:cs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一、需求专业</w:t>
      </w:r>
    </w:p>
    <w:tbl>
      <w:tblPr>
        <w:tblStyle w:val="7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102"/>
        <w:gridCol w:w="5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学科门类</w:t>
            </w:r>
          </w:p>
        </w:tc>
        <w:tc>
          <w:tcPr>
            <w:tcW w:w="537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需求专业                     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（含一级学科覆盖的二、三级专业）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0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医学类</w:t>
            </w:r>
          </w:p>
        </w:tc>
        <w:tc>
          <w:tcPr>
            <w:tcW w:w="53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基础医学、临床医学、口腔医学、公共卫生与预防医学、中医学、中西医结合、药学、中药学、护理学、医学技术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法学类</w:t>
            </w:r>
          </w:p>
        </w:tc>
        <w:tc>
          <w:tcPr>
            <w:tcW w:w="53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法学、马克思主义理论、政治学、社会学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管理学类</w:t>
            </w:r>
          </w:p>
        </w:tc>
        <w:tc>
          <w:tcPr>
            <w:tcW w:w="537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管理科学与工程、工商管理、公共管理、图书情报与档案管理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教育学类</w:t>
            </w:r>
          </w:p>
        </w:tc>
        <w:tc>
          <w:tcPr>
            <w:tcW w:w="53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教育学、心理学、体育学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文学类</w:t>
            </w:r>
          </w:p>
        </w:tc>
        <w:tc>
          <w:tcPr>
            <w:tcW w:w="53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外国语言文学（英语方向）、中国语言文学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理学类</w:t>
            </w:r>
          </w:p>
        </w:tc>
        <w:tc>
          <w:tcPr>
            <w:tcW w:w="53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数学、物理学、化学、生物学、统计学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0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工学类</w:t>
            </w:r>
          </w:p>
        </w:tc>
        <w:tc>
          <w:tcPr>
            <w:tcW w:w="537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光学工程、生物医学工程、计算机科学与技术、信息与通信工程、电子科学与技术、软件工程、生物工程、食品科学与工程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0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哲学类</w:t>
            </w:r>
          </w:p>
        </w:tc>
        <w:tc>
          <w:tcPr>
            <w:tcW w:w="53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0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经济学类</w:t>
            </w:r>
          </w:p>
        </w:tc>
        <w:tc>
          <w:tcPr>
            <w:tcW w:w="53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理论经济学、应用经济学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0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历史学类</w:t>
            </w:r>
          </w:p>
        </w:tc>
        <w:tc>
          <w:tcPr>
            <w:tcW w:w="53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中国史、世界史</w:t>
            </w:r>
          </w:p>
        </w:tc>
      </w:tr>
    </w:tbl>
    <w:p/>
    <w:p>
      <w:pPr>
        <w:spacing w:line="54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spacing w:line="540" w:lineRule="exact"/>
        <w:ind w:firstLine="562" w:firstLineChars="200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二、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引进待遇(人民币，下同)</w:t>
      </w:r>
    </w:p>
    <w:tbl>
      <w:tblPr>
        <w:tblStyle w:val="7"/>
        <w:tblW w:w="8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719"/>
        <w:gridCol w:w="1776"/>
        <w:gridCol w:w="261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spacing w:line="54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8"/>
                <w:szCs w:val="28"/>
              </w:rPr>
              <w:t>引进类别</w:t>
            </w:r>
          </w:p>
        </w:tc>
        <w:tc>
          <w:tcPr>
            <w:tcW w:w="1719" w:type="dxa"/>
            <w:vAlign w:val="center"/>
          </w:tcPr>
          <w:p>
            <w:pPr>
              <w:spacing w:line="54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8"/>
                <w:szCs w:val="28"/>
              </w:rPr>
              <w:t>安家费</w:t>
            </w:r>
          </w:p>
        </w:tc>
        <w:tc>
          <w:tcPr>
            <w:tcW w:w="1776" w:type="dxa"/>
            <w:vAlign w:val="center"/>
          </w:tcPr>
          <w:p>
            <w:pPr>
              <w:spacing w:line="54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8"/>
                <w:szCs w:val="28"/>
              </w:rPr>
              <w:t>租房补贴</w:t>
            </w:r>
          </w:p>
        </w:tc>
        <w:tc>
          <w:tcPr>
            <w:tcW w:w="2610" w:type="dxa"/>
            <w:vAlign w:val="center"/>
          </w:tcPr>
          <w:p>
            <w:pPr>
              <w:spacing w:line="54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8"/>
                <w:szCs w:val="28"/>
              </w:rPr>
              <w:t>薪酬及待遇</w:t>
            </w:r>
          </w:p>
        </w:tc>
        <w:tc>
          <w:tcPr>
            <w:tcW w:w="1230" w:type="dxa"/>
          </w:tcPr>
          <w:p>
            <w:pPr>
              <w:spacing w:line="540" w:lineRule="exact"/>
              <w:rPr>
                <w:rFonts w:asciiTheme="majorEastAsia" w:hAnsiTheme="majorEastAsia" w:eastAsia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8"/>
                <w:szCs w:val="28"/>
              </w:rPr>
              <w:t>科研启动经费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66" w:type="dxa"/>
            <w:vAlign w:val="center"/>
          </w:tcPr>
          <w:p>
            <w:pPr>
              <w:spacing w:line="54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8"/>
                <w:szCs w:val="28"/>
              </w:rPr>
              <w:t>A类博士</w:t>
            </w:r>
          </w:p>
        </w:tc>
        <w:tc>
          <w:tcPr>
            <w:tcW w:w="171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28-33万元(自然学科,税后）；23-28万元（人文学科,税后）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（含当地政府发放的安家费及生活补贴。学校发放部分按12个月平均发放）</w:t>
            </w:r>
          </w:p>
        </w:tc>
        <w:tc>
          <w:tcPr>
            <w:tcW w:w="1776" w:type="dxa"/>
            <w:vMerge w:val="restart"/>
          </w:tcPr>
          <w:p>
            <w:pPr>
              <w:spacing w:line="540" w:lineRule="exact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</w:rPr>
              <w:t>提供房租补贴1500元/月，最长24个月。</w:t>
            </w:r>
          </w:p>
        </w:tc>
        <w:tc>
          <w:tcPr>
            <w:tcW w:w="2610" w:type="dxa"/>
          </w:tcPr>
          <w:p>
            <w:pPr>
              <w:spacing w:line="540" w:lineRule="exact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</w:rPr>
              <w:t>基本工资标准按国家政策兑现中级职称待遇（专十级），校内绩效享受校聘副教授待遇2年，2年后按实际职称兑现待遇</w:t>
            </w:r>
          </w:p>
        </w:tc>
        <w:tc>
          <w:tcPr>
            <w:tcW w:w="1230" w:type="dxa"/>
            <w:vAlign w:val="center"/>
          </w:tcPr>
          <w:p>
            <w:pPr>
              <w:spacing w:line="54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</w:rPr>
              <w:t>人文学科类：10-15万元；自然学科类：15-20万元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spacing w:line="54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8"/>
                <w:szCs w:val="28"/>
              </w:rPr>
              <w:t>B类博士</w:t>
            </w:r>
          </w:p>
        </w:tc>
        <w:tc>
          <w:tcPr>
            <w:tcW w:w="1719" w:type="dxa"/>
          </w:tcPr>
          <w:p>
            <w:pPr>
              <w:pStyle w:val="5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23-28万元（自然学科,税后）；18-23（人文学科,税后）</w:t>
            </w:r>
          </w:p>
          <w:p>
            <w:pPr>
              <w:pStyle w:val="5"/>
              <w:rPr>
                <w:rFonts w:asciiTheme="majorEastAsia" w:hAnsiTheme="majorEastAsia" w:eastAsiaTheme="majorEastAsia" w:cstheme="majorEastAsia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（含当地政府发放的安家费及生活补贴,学校发放部分按12个月平均发放）</w:t>
            </w:r>
          </w:p>
        </w:tc>
        <w:tc>
          <w:tcPr>
            <w:tcW w:w="1776" w:type="dxa"/>
            <w:vMerge w:val="continue"/>
          </w:tcPr>
          <w:p>
            <w:pPr>
              <w:spacing w:line="540" w:lineRule="exact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</w:rPr>
            </w:pPr>
          </w:p>
        </w:tc>
        <w:tc>
          <w:tcPr>
            <w:tcW w:w="2610" w:type="dxa"/>
          </w:tcPr>
          <w:p>
            <w:pPr>
              <w:spacing w:line="540" w:lineRule="exact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</w:rPr>
            </w:pPr>
          </w:p>
          <w:p>
            <w:pPr>
              <w:spacing w:line="540" w:lineRule="exact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</w:rPr>
              <w:t>工资标准及校内绩效执行中级职称待遇（专十级）</w:t>
            </w:r>
          </w:p>
        </w:tc>
        <w:tc>
          <w:tcPr>
            <w:tcW w:w="1230" w:type="dxa"/>
            <w:vAlign w:val="center"/>
          </w:tcPr>
          <w:p>
            <w:pPr>
              <w:spacing w:line="54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</w:rPr>
              <w:t>人文学科类：5-10万元；自然学科类：10-15万元</w:t>
            </w:r>
          </w:p>
        </w:tc>
      </w:tr>
    </w:tbl>
    <w:p>
      <w:pPr>
        <w:spacing w:line="540" w:lineRule="exact"/>
        <w:ind w:firstLine="480" w:firstLineChars="200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注：A类博士业绩要求（近三年）：</w:t>
      </w:r>
    </w:p>
    <w:p>
      <w:pPr>
        <w:spacing w:line="540" w:lineRule="exact"/>
        <w:ind w:firstLine="480" w:firstLineChars="200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1.自然学科类，满足以下条件之一：</w:t>
      </w:r>
    </w:p>
    <w:p>
      <w:pPr>
        <w:spacing w:line="540" w:lineRule="exact"/>
        <w:ind w:firstLine="480" w:firstLineChars="200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（1）以第一作者或通讯作者发表SCI文章1篇且IF≥8分；</w:t>
      </w:r>
    </w:p>
    <w:p>
      <w:pPr>
        <w:spacing w:line="540" w:lineRule="exact"/>
        <w:ind w:firstLine="480" w:firstLineChars="200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（2）以第一作者或通讯作者发表JCR一区文章至少1篇；</w:t>
      </w:r>
    </w:p>
    <w:p>
      <w:pPr>
        <w:spacing w:line="540" w:lineRule="exact"/>
        <w:ind w:firstLine="480" w:firstLineChars="200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（3）以第一作者或通讯作者发表SCI文章，总IF≥15分；</w:t>
      </w:r>
    </w:p>
    <w:p>
      <w:pPr>
        <w:spacing w:line="540" w:lineRule="exact"/>
        <w:ind w:firstLine="480" w:firstLineChars="200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（4）作为有效排名人身份参与国家重大项目至少1项（须提交盖鲜章的申报书原件或本人签字复印件）；</w:t>
      </w:r>
    </w:p>
    <w:p>
      <w:pPr>
        <w:spacing w:line="540" w:lineRule="exact"/>
        <w:ind w:firstLine="480" w:firstLineChars="200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（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 w:val="24"/>
        </w:rPr>
        <w:t>）获得国家发明专利2项。</w:t>
      </w:r>
    </w:p>
    <w:p>
      <w:pPr>
        <w:spacing w:line="540" w:lineRule="exact"/>
        <w:ind w:firstLine="480" w:firstLineChars="200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2.人文社科类，满足以下条件之一：</w:t>
      </w:r>
    </w:p>
    <w:p>
      <w:pPr>
        <w:spacing w:line="540" w:lineRule="exact"/>
        <w:ind w:firstLine="480" w:firstLineChars="200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（1）以第一作者或通讯作者发表CSSCI(不含扩展版)、SSCI、A﹠HCI 来源论文≥2 篇；</w:t>
      </w:r>
    </w:p>
    <w:p>
      <w:pPr>
        <w:spacing w:line="540" w:lineRule="exact"/>
        <w:ind w:firstLine="480" w:firstLineChars="200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（2）主持国家社科基金至少1项；</w:t>
      </w:r>
    </w:p>
    <w:p>
      <w:pPr>
        <w:spacing w:line="540" w:lineRule="exact"/>
        <w:ind w:firstLine="480" w:firstLineChars="200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（3）作为有效排名人身份参与国家重大项目至少1项（须提交盖鲜章的申报书原件或本人签字复印件）；</w:t>
      </w:r>
    </w:p>
    <w:p>
      <w:pPr>
        <w:spacing w:line="540" w:lineRule="exact"/>
        <w:ind w:firstLine="480" w:firstLineChars="200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（4）出版与本专业（学科）相关的专著至少1本。</w:t>
      </w:r>
    </w:p>
    <w:p>
      <w:pPr>
        <w:spacing w:line="540" w:lineRule="exact"/>
        <w:ind w:firstLine="480" w:firstLineChars="200"/>
        <w:rPr>
          <w:rFonts w:asciiTheme="majorEastAsia" w:hAnsiTheme="majorEastAsia" w:eastAsiaTheme="majorEastAsia" w:cstheme="majorEastAsia"/>
          <w:sz w:val="24"/>
        </w:rPr>
      </w:pPr>
    </w:p>
    <w:p>
      <w:pPr>
        <w:spacing w:line="540" w:lineRule="exact"/>
        <w:ind w:firstLine="482" w:firstLineChars="200"/>
        <w:rPr>
          <w:rFonts w:asciiTheme="majorEastAsia" w:hAnsiTheme="majorEastAsia" w:eastAsiaTheme="majorEastAsia" w:cstheme="majorEastAsia"/>
          <w:b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特别优秀的人才不受上述限制，采用一事一议，具体面议。</w:t>
      </w:r>
    </w:p>
    <w:p>
      <w:pPr>
        <w:widowControl/>
        <w:spacing w:line="540" w:lineRule="exact"/>
        <w:ind w:firstLine="562" w:firstLineChars="200"/>
        <w:jc w:val="left"/>
        <w:rPr>
          <w:rFonts w:asciiTheme="majorEastAsia" w:hAnsiTheme="majorEastAsia" w:eastAsiaTheme="majorEastAsia" w:cstheme="majorEastAsia"/>
          <w:b/>
          <w:bCs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</w:rPr>
        <w:t>三、通迅地址及联系方式：</w:t>
      </w:r>
    </w:p>
    <w:p>
      <w:pPr>
        <w:widowControl/>
        <w:spacing w:line="540" w:lineRule="exact"/>
        <w:ind w:firstLine="560"/>
        <w:jc w:val="left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 xml:space="preserve">地址：四川省泸州市龙马潭区香林路1段1号德诚楼7楼西南医科大学人事处 </w:t>
      </w:r>
    </w:p>
    <w:p>
      <w:pPr>
        <w:widowControl/>
        <w:spacing w:line="540" w:lineRule="exact"/>
        <w:ind w:firstLine="560"/>
        <w:jc w:val="left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电话：0830-3160509       　　联系人：杨老师/文老师</w:t>
      </w:r>
    </w:p>
    <w:p>
      <w:pPr>
        <w:widowControl/>
        <w:spacing w:line="540" w:lineRule="exac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电子邮箱:hr@swmu.edu.cn　　　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邮　编：646000</w:t>
      </w: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drawing>
          <wp:inline distT="0" distB="0" distL="114300" distR="114300">
            <wp:extent cx="2106295" cy="2106295"/>
            <wp:effectExtent l="0" t="0" r="8255" b="8255"/>
            <wp:docPr id="1" name="图片 1" descr="学校官网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校官网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drawing>
          <wp:inline distT="0" distB="0" distL="114300" distR="114300">
            <wp:extent cx="2134235" cy="2134235"/>
            <wp:effectExtent l="0" t="0" r="18415" b="18415"/>
            <wp:docPr id="2" name="图片 2" descr="人事处官网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人事处官网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学校官网                 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  人事处官网</w:t>
      </w:r>
    </w:p>
    <w:p>
      <w:pPr>
        <w:spacing w:line="540" w:lineRule="exact"/>
        <w:ind w:firstLine="562" w:firstLineChars="200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四、来校考察路线：</w:t>
      </w:r>
    </w:p>
    <w:p>
      <w:pPr>
        <w:spacing w:line="54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1、直飞泸州：到达云龙机场后，乘坐95路公交车到泸州客运中心站下车，步行20分钟或打车到西南医科大学城北校区。</w:t>
      </w:r>
    </w:p>
    <w:p>
      <w:pPr>
        <w:spacing w:line="54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若无直达泸州云龙机场的航线请选择其他方式：</w:t>
      </w:r>
    </w:p>
    <w:p>
      <w:pPr>
        <w:spacing w:line="54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2、飞抵重庆：T2、T3航站楼乘至泸州的机场大巴专线，全天候滚动发车，购票及上车地点位于航站楼内，较方便；也可拼车到泸州，泸渝快的订票电话18980257979，票价150元/人，需在航班起飞前预定。</w:t>
      </w:r>
    </w:p>
    <w:p>
      <w:pPr>
        <w:spacing w:line="54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3、乘高铁到重庆：重庆北站—隆昌北站（约40分钟），出隆昌北站后有直达泸州的客运车。也可拼车到泸，订票电话15182511188,票价50元/人。隆昌北站到泸州约1小时。</w:t>
      </w:r>
    </w:p>
    <w:p>
      <w:pPr>
        <w:spacing w:line="54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4、飞抵成都：可选择坐客车直达泸州，也可在成都东站坐高铁到隆昌北站。</w:t>
      </w:r>
    </w:p>
    <w:p>
      <w:pPr>
        <w:spacing w:line="54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5、乘高铁到成都：成都东站—隆昌北站（约50分钟），出隆昌北站后有直达泸州的客运车。也可拼车到泸，订票电话15182511188,票价50元/人。隆昌北站到泸州约1小时。</w:t>
      </w:r>
    </w:p>
    <w:p>
      <w:pPr>
        <w:spacing w:line="54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来我校考察面试的博士，我校可报销一定的交通费及住宿费(须报销凭证)。具体请与我校工作人员联系。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20C99"/>
    <w:rsid w:val="000474D7"/>
    <w:rsid w:val="0007413F"/>
    <w:rsid w:val="000E3AC3"/>
    <w:rsid w:val="00107AA3"/>
    <w:rsid w:val="00126024"/>
    <w:rsid w:val="001A4F90"/>
    <w:rsid w:val="00216829"/>
    <w:rsid w:val="00242B89"/>
    <w:rsid w:val="00287E5F"/>
    <w:rsid w:val="00320C99"/>
    <w:rsid w:val="00366EA7"/>
    <w:rsid w:val="003E5DCA"/>
    <w:rsid w:val="00405985"/>
    <w:rsid w:val="004275D6"/>
    <w:rsid w:val="00462FAE"/>
    <w:rsid w:val="004F04D0"/>
    <w:rsid w:val="005C6121"/>
    <w:rsid w:val="0060271A"/>
    <w:rsid w:val="006453D3"/>
    <w:rsid w:val="00664D3C"/>
    <w:rsid w:val="00685165"/>
    <w:rsid w:val="006D218B"/>
    <w:rsid w:val="006E74B5"/>
    <w:rsid w:val="00741344"/>
    <w:rsid w:val="007443CC"/>
    <w:rsid w:val="007C1356"/>
    <w:rsid w:val="007C14C0"/>
    <w:rsid w:val="007F5BA6"/>
    <w:rsid w:val="00850326"/>
    <w:rsid w:val="00880C37"/>
    <w:rsid w:val="00896694"/>
    <w:rsid w:val="00955DBC"/>
    <w:rsid w:val="009C1DF4"/>
    <w:rsid w:val="009E53FA"/>
    <w:rsid w:val="00A313BD"/>
    <w:rsid w:val="00A40357"/>
    <w:rsid w:val="00B46550"/>
    <w:rsid w:val="00B743DB"/>
    <w:rsid w:val="00BA70BC"/>
    <w:rsid w:val="00BD2DC2"/>
    <w:rsid w:val="00C71B8C"/>
    <w:rsid w:val="00CD7F75"/>
    <w:rsid w:val="00D85792"/>
    <w:rsid w:val="00DE6092"/>
    <w:rsid w:val="00E0046A"/>
    <w:rsid w:val="00E038CE"/>
    <w:rsid w:val="00E33400"/>
    <w:rsid w:val="00EB303E"/>
    <w:rsid w:val="00EE1995"/>
    <w:rsid w:val="00EE2556"/>
    <w:rsid w:val="00F17983"/>
    <w:rsid w:val="00F957BA"/>
    <w:rsid w:val="00FB4A4B"/>
    <w:rsid w:val="022079CC"/>
    <w:rsid w:val="02B73948"/>
    <w:rsid w:val="031A261D"/>
    <w:rsid w:val="033E2796"/>
    <w:rsid w:val="03F22661"/>
    <w:rsid w:val="045C0AE9"/>
    <w:rsid w:val="04966823"/>
    <w:rsid w:val="05C63620"/>
    <w:rsid w:val="05E2163C"/>
    <w:rsid w:val="06987BBC"/>
    <w:rsid w:val="06D61CCD"/>
    <w:rsid w:val="071C42A1"/>
    <w:rsid w:val="077B60D6"/>
    <w:rsid w:val="07A7664E"/>
    <w:rsid w:val="09396E54"/>
    <w:rsid w:val="0C8C796B"/>
    <w:rsid w:val="0D2B7093"/>
    <w:rsid w:val="0D314526"/>
    <w:rsid w:val="0DD06015"/>
    <w:rsid w:val="0E694656"/>
    <w:rsid w:val="12A8789D"/>
    <w:rsid w:val="15D82B6A"/>
    <w:rsid w:val="167E2B99"/>
    <w:rsid w:val="16D9613C"/>
    <w:rsid w:val="178C7CAF"/>
    <w:rsid w:val="17DC0DD0"/>
    <w:rsid w:val="1A26159D"/>
    <w:rsid w:val="1BA57A7D"/>
    <w:rsid w:val="1F144F86"/>
    <w:rsid w:val="22F66E20"/>
    <w:rsid w:val="24002D53"/>
    <w:rsid w:val="24396C3D"/>
    <w:rsid w:val="252A6B27"/>
    <w:rsid w:val="2688085F"/>
    <w:rsid w:val="28507EB6"/>
    <w:rsid w:val="28534109"/>
    <w:rsid w:val="29547DA0"/>
    <w:rsid w:val="2B2A6338"/>
    <w:rsid w:val="2D054A13"/>
    <w:rsid w:val="2D214C4C"/>
    <w:rsid w:val="2D645F57"/>
    <w:rsid w:val="2D670662"/>
    <w:rsid w:val="2DFD567C"/>
    <w:rsid w:val="316F136C"/>
    <w:rsid w:val="32D315BE"/>
    <w:rsid w:val="34753B32"/>
    <w:rsid w:val="3477366C"/>
    <w:rsid w:val="35502D84"/>
    <w:rsid w:val="36AF749B"/>
    <w:rsid w:val="37F12939"/>
    <w:rsid w:val="3AF6158A"/>
    <w:rsid w:val="3D137103"/>
    <w:rsid w:val="3E962AEB"/>
    <w:rsid w:val="403937A0"/>
    <w:rsid w:val="415E0CE8"/>
    <w:rsid w:val="41B20C21"/>
    <w:rsid w:val="44C0302A"/>
    <w:rsid w:val="459B6179"/>
    <w:rsid w:val="467A4BD3"/>
    <w:rsid w:val="4D1B75F6"/>
    <w:rsid w:val="4D557971"/>
    <w:rsid w:val="4D6550EB"/>
    <w:rsid w:val="4DC0378D"/>
    <w:rsid w:val="4F8928DD"/>
    <w:rsid w:val="527D21B2"/>
    <w:rsid w:val="55F3040B"/>
    <w:rsid w:val="568D59D9"/>
    <w:rsid w:val="583033FF"/>
    <w:rsid w:val="58406A4F"/>
    <w:rsid w:val="58D20A09"/>
    <w:rsid w:val="59A35320"/>
    <w:rsid w:val="59C6133E"/>
    <w:rsid w:val="5AE17903"/>
    <w:rsid w:val="5AF43AF5"/>
    <w:rsid w:val="5C1919AD"/>
    <w:rsid w:val="5CEE65D4"/>
    <w:rsid w:val="5D38490D"/>
    <w:rsid w:val="6120121F"/>
    <w:rsid w:val="6320322B"/>
    <w:rsid w:val="63D1527F"/>
    <w:rsid w:val="649A3ED0"/>
    <w:rsid w:val="67996655"/>
    <w:rsid w:val="6ABB28BC"/>
    <w:rsid w:val="6AD93AB1"/>
    <w:rsid w:val="6E646D41"/>
    <w:rsid w:val="6ED807ED"/>
    <w:rsid w:val="71F87EF0"/>
    <w:rsid w:val="759629BA"/>
    <w:rsid w:val="764D1B32"/>
    <w:rsid w:val="770359BE"/>
    <w:rsid w:val="7B5B0073"/>
    <w:rsid w:val="7D1F6F6E"/>
    <w:rsid w:val="7D2F6177"/>
    <w:rsid w:val="7F5875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11">
    <w:name w:val="Hyperlink"/>
    <w:basedOn w:val="8"/>
    <w:qFormat/>
    <w:uiPriority w:val="0"/>
    <w:rPr>
      <w:color w:val="0000FF"/>
      <w:u w:val="none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325</Words>
  <Characters>1854</Characters>
  <Lines>15</Lines>
  <Paragraphs>4</Paragraphs>
  <TotalTime>43</TotalTime>
  <ScaleCrop>false</ScaleCrop>
  <LinksUpToDate>false</LinksUpToDate>
  <CharactersWithSpaces>2175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qch</dc:creator>
  <cp:lastModifiedBy>百事可乐</cp:lastModifiedBy>
  <cp:lastPrinted>2017-03-06T09:48:00Z</cp:lastPrinted>
  <dcterms:modified xsi:type="dcterms:W3CDTF">2020-01-03T07:14:15Z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