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48"/>
          <w:szCs w:val="4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8"/>
          <w:szCs w:val="48"/>
        </w:rPr>
        <w:t>宜春学院高层次人才引进公告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750909"/>
        <w:spacing w:before="300" w:beforeAutospacing="0" w:after="300" w:afterAutospacing="0" w:line="525" w:lineRule="atLeast"/>
        <w:ind w:left="0" w:right="0" w:firstLine="315"/>
        <w:rPr>
          <w:color w:val="FFFFFF"/>
          <w:sz w:val="27"/>
          <w:szCs w:val="27"/>
        </w:rPr>
      </w:pPr>
      <w:r>
        <w:rPr>
          <w:i w:val="0"/>
          <w:iCs w:val="0"/>
          <w:caps w:val="0"/>
          <w:color w:val="FFFFFF"/>
          <w:spacing w:val="0"/>
          <w:sz w:val="27"/>
          <w:szCs w:val="27"/>
          <w:shd w:val="clear" w:fill="750909"/>
        </w:rPr>
        <w:t>一、学校简介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宜春学院是一所学科门类齐全、办学历史悠久的全日制公办本科普通高等学校，地处赣西中心城市——江西省宜春市，环境优美，交通便利。现有本部校区、北校区和新校区三个校区，占地2000余亩。全日制在校生19000余人。现有教职工1500余人，其中，专任教师1100余人，具有高级专业技术职称的教师占专任教师比例达42%以上，博士、硕士占专任教师比例80%以上，具有省级以上人才称号70余人次。学校外聘中国科学院院士、中国科技大学博士生导师陈仙辉院士等100多名高级专家为客座教授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学校的办学声誉稳步提升。2007年，学校以“良好”成绩通过教育部本科教学工作水平评估;2011年10月，经国务院学位委员会批准，学校被批准为“服务国家特殊需求项目——学士学位授予单位开展培养硕士专业学位研究生试点工作单位”;2015年，获批江西省首批转型发展试点高校; 2018年，学校接受教育部本科教学工作审核评估，教育部评估专家组评价宜春学院是“一所区域特色鲜明、优势突出、极具发展潜力的地方应用型大学”。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现有19个教学院，11大学科门类，69个本科专业。有专业学位硕士点1个，省级一流学科1个。有国家级特色专业2个，省级一流特色专业2个，教育部省级一流专业建设点7个，省特色专业8个，国家综合改革试点专业1个，国家“卓越人才教育培养计划”专业2个，教育部“新农科”项目2项、“新工科”项目1项。国家级一流本科课程1门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现有2011协同创新中心1个，省级重点实验室(中心)4个，省发改委工程研究中心1个，省高校重点实验室(中心、基地)6个，省文化厅重点基地1个，省非物质文化遗产研究基地1个，博士后科研工作站1个。获批国家级大学生校外实践基地1个，省级高校实验教学示范中心3个，校外实习实训基地600多个。国家级创业孵化示范基地1个，省级人才培养模式创新实验区2个，校外创新创业实践基地和示范园25个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学校主动对接“一带一路”战略，坚持走国际化办学道路。先后与美国、俄罗斯等近20个国家和地区的高校、科研教育机构开展合作交流办学，为师生共享国(境)外优质教育资源搭建了广阔平台。与印度拉夫里科技大学合作共建国家级“汉语教学中心”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进入新发展阶段，宜春学院坚持以习近平新时代中国特色社会主义思想为指导，全面贯彻落实党的教育方针，坚持立德树人根本任务和社会主义办学方向，秉承“厚德、尚能、博学、笃行”校训，深化产教融合，主动对接国家和区域经济社会发展需求，走创新发展、内涵发展、转型发展、特色发展、高质量发展之路，开放办学，服务地方，着力打造事业发展的“升级版”，为建设“有特色高水平地方应用型大学”而努力奋斗!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750909"/>
        <w:spacing w:before="300" w:beforeAutospacing="0" w:after="300" w:afterAutospacing="0" w:line="525" w:lineRule="atLeast"/>
        <w:ind w:left="0" w:right="0" w:firstLine="315"/>
        <w:rPr>
          <w:color w:val="FFFFFF"/>
          <w:sz w:val="27"/>
          <w:szCs w:val="27"/>
        </w:rPr>
      </w:pPr>
      <w:r>
        <w:rPr>
          <w:i w:val="0"/>
          <w:iCs w:val="0"/>
          <w:caps w:val="0"/>
          <w:color w:val="FFFFFF"/>
          <w:spacing w:val="0"/>
          <w:sz w:val="27"/>
          <w:szCs w:val="27"/>
          <w:shd w:val="clear" w:fill="750909"/>
        </w:rPr>
        <w:t>二、引进对象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第一类：在学科领域作出杰出贡献、获得国家级教学与科研成果奖励、国内外公认的杰出人才，且近5年获得国家级“重点项目”、“重大项目”、“重大国际(地区)合作研究项目”或“优秀青年科学基金项目”、“杰出青年科学基金项目”资助的项目第一负责人，项目并通过结题验收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第二类：在学科领域作出突出贡献、获得省级科研成果一等或教学成果特等奖励、同行专家高度认可的拔尖人才，且近5年获得国家级项目资助、或省部级“重点项目”、“重大项目”资助的项目第一负责人，项目并通过结题验收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第三类：在学科领域作出较大贡献、获得省级科研成果二等或教学成果一等以上奖励、同行专家认可的学科(方向)领军人才，且近5年获得过省部级以上项目资助的项目第一负责人，并在本学科领域权威期刊发表高质量学术论文2篇及以上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第四类：在学科领域具有发展潜力、对本学科专业建设具有创新性构想、具有保持或赶超本领域国内先进水平的能力的优秀博士研究生，且获得省级科研成果三等或教学成果二等以上奖励，或近5年获得过省部级以上项目资助的项目第一负责人，或在本学科领域权威期刊发表高质量学术论文2篇及以上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第五类：其他学科(专业)急需的博士研究生。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750909"/>
        <w:spacing w:before="300" w:beforeAutospacing="0" w:after="300" w:afterAutospacing="0" w:line="525" w:lineRule="atLeast"/>
        <w:ind w:left="0" w:right="0" w:firstLine="315"/>
        <w:rPr>
          <w:color w:val="FFFFFF"/>
          <w:sz w:val="27"/>
          <w:szCs w:val="27"/>
        </w:rPr>
      </w:pPr>
      <w:r>
        <w:rPr>
          <w:i w:val="0"/>
          <w:iCs w:val="0"/>
          <w:caps w:val="0"/>
          <w:color w:val="FFFFFF"/>
          <w:spacing w:val="0"/>
          <w:sz w:val="27"/>
          <w:szCs w:val="27"/>
          <w:shd w:val="clear" w:fill="750909"/>
        </w:rPr>
        <w:t>三、引才计划</w:t>
      </w:r>
    </w:p>
    <w:tbl>
      <w:tblPr>
        <w:tblStyle w:val="9"/>
        <w:tblW w:w="17700" w:type="dxa"/>
        <w:tblInd w:w="0" w:type="dxa"/>
        <w:tblBorders>
          <w:top w:val="single" w:color="CCCCCC" w:sz="6" w:space="0"/>
          <w:left w:val="single" w:color="CCCCCC" w:sz="6" w:space="0"/>
          <w:bottom w:val="outset" w:color="auto" w:sz="0" w:space="0"/>
          <w:right w:val="outset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46"/>
        <w:gridCol w:w="2529"/>
        <w:gridCol w:w="5890"/>
        <w:gridCol w:w="4856"/>
        <w:gridCol w:w="1379"/>
      </w:tblGrid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4F9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11"/>
                <w:color w:val="000000"/>
                <w:sz w:val="21"/>
                <w:szCs w:val="21"/>
              </w:rPr>
              <w:t>学院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4F9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11"/>
                <w:color w:val="000000"/>
                <w:sz w:val="21"/>
                <w:szCs w:val="21"/>
              </w:rPr>
              <w:t>需求岗位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4F9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11"/>
                <w:color w:val="000000"/>
                <w:sz w:val="21"/>
                <w:szCs w:val="21"/>
              </w:rPr>
              <w:t>专业方向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4F9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11"/>
                <w:color w:val="000000"/>
                <w:sz w:val="21"/>
                <w:szCs w:val="21"/>
              </w:rPr>
              <w:t>条件要求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11"/>
                <w:sz w:val="21"/>
                <w:szCs w:val="21"/>
              </w:rPr>
              <w:t>引进人数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文传学院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专业技术岗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中国语言文学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</w:rPr>
              <w:t>中国语言文学下辖二级学科均可。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文传学院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专业技术岗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新闻传播学、社会学、文艺学、心理学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文传学院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专业技术岗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地理学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</w:rPr>
              <w:t>40周岁以内，（1982年1月1日以后出生）。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政法学院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专业技术岗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管理学（行政管理、人力资源管理、工商管理方向）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政法学院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专业技术岗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法学（刑法学、民商法学、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国际法学方向）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马克思主义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学院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专业技术岗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马克思主义理论、哲学、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政治学、社会学、法学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</w:rPr>
              <w:t>中共党员，40周岁以内，（1982年1月1日以后出生）。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专业技术岗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管理学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专业技术岗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经济学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专业技术岗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英语语言文学、外国语言学及应用语言学、哲学、教育学、文学、历史学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</w:rPr>
              <w:t>本科或硕士阶段为英语类专业，业绩优秀者可适当放宽年龄。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音乐舞蹈学院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专业技术岗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 学前教育学、 音乐与舞蹈学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美术与设计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学院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专业技术岗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美术学、设计学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</w:rPr>
              <w:t>50周岁以内（1972年1月1日以后出生）。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书法学院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专业技术岗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美术、艺术学、美术学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</w:rPr>
              <w:t>本科或硕士为书法学专业。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数计学院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专业技术岗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电子科学与技术、信号与通信工程、控制科学与工程、计算机科学与技术、软件工程、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电子信息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数计学院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专业技术岗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 数学（各专业方向）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理工学院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专业技术岗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建筑学、土木工程、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管理科学与工程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理工学院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专业技术岗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材料科学与工程、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矿物加工工程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理工学院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专业技术岗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电子科学与技术、信息与通信工程、集成电路工程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理工学院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专业技术岗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机械工程、控制科学与技术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理工学院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专业技术岗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物理学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化生学院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专业技术岗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药学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</w:rPr>
              <w:t>40周岁以内，（1982年1月1日以后出生）。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化生学院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专业技术岗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化学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</w:rPr>
              <w:t>40周岁以内，（1982年1月1日以后出生）。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化生学院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专业技术岗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食品科学与工程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</w:rPr>
              <w:t>40周岁以内，（1982年1月1日以后出生）。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生科学院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专业技术岗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动物遗传育种与繁殖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（遗传育种方向）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</w:rPr>
              <w:t>35周岁以内，（1987年1月1日以后出生）。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生科学院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专业技术岗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动物遗传育种与繁殖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（胚胎工程方向）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</w:rPr>
              <w:t>35周岁以内，（1987年1月1日以后出生）。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生科学院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专业技术岗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土地资源管理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</w:rPr>
              <w:t>40周岁以内，（1982年1月1日以后出生）。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生科学院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专业技术岗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兽医学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</w:rPr>
              <w:t>具有执业兽医师资格证书或有动物医院临床工作经历者优先；35周岁以内，（1987年1月1日以后出生）。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生科学院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专业技术岗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环境科学、环境工程（大气污染治理或水污染控制方向）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</w:rPr>
              <w:t>40周岁以内，（1982年1月1日以后出生）。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生科学院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专业技术岗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作物学（学科带头人）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</w:rPr>
              <w:t>  50周岁以内（1972年1月1日以后出生）。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医学院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专业技术岗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基础医学、临床医学、生物学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</w:rPr>
              <w:t>具有生物学或医学类本科背景。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美容医学院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专业技术岗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外科学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</w:rPr>
              <w:t>40周岁以内，（1982年1月1日以后出生）。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美容医学院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专业技术岗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社会医学与卫生事业管理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</w:rPr>
              <w:t>40周岁以内，（1982年1月1日以后出生）。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体育学院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专业技术岗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体育学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</w:rPr>
              <w:t>具有体育专业理论教学水平。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宗教文化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研究中心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专业技术岗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宗教学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（佛教、道教、宗教原理方向）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高教研究所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专业技术岗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高等教育学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11"/>
                <w:sz w:val="21"/>
                <w:szCs w:val="21"/>
              </w:rPr>
              <w:t>合计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0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11"/>
                <w:sz w:val="21"/>
                <w:szCs w:val="21"/>
              </w:rPr>
              <w:t>60</w:t>
            </w:r>
          </w:p>
        </w:tc>
      </w:tr>
    </w:tbl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750909"/>
        <w:spacing w:before="300" w:beforeAutospacing="0" w:after="300" w:afterAutospacing="0" w:line="525" w:lineRule="atLeast"/>
        <w:ind w:left="0" w:right="0" w:firstLine="315"/>
        <w:rPr>
          <w:color w:val="FFFFFF"/>
          <w:sz w:val="27"/>
          <w:szCs w:val="27"/>
        </w:rPr>
      </w:pPr>
      <w:r>
        <w:rPr>
          <w:i w:val="0"/>
          <w:iCs w:val="0"/>
          <w:caps w:val="0"/>
          <w:color w:val="FFFFFF"/>
          <w:spacing w:val="0"/>
          <w:sz w:val="27"/>
          <w:szCs w:val="27"/>
          <w:shd w:val="clear" w:fill="750909"/>
        </w:rPr>
        <w:t>四、引才条件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0" w:afterAutospacing="0" w:line="480" w:lineRule="atLeast"/>
        <w:ind w:left="0" w:right="0"/>
      </w:pPr>
      <w:r>
        <w:rPr>
          <w:i w:val="0"/>
          <w:iCs w:val="0"/>
          <w:caps w:val="0"/>
          <w:color w:val="000000"/>
          <w:spacing w:val="0"/>
        </w:rPr>
        <w:t>(一)基本条件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1.拥护中国共产党的领导和社会主义制度，遵守国家法律法规，有良好的品行和职业道德，具有正常履行岗位职责的身体条件;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2.报考人员所学专业的代码须与引才岗位所要求专业代码一致;若引才岗位按照专业大类设置专业条件，则该专业大类目录中的具体专业均可报考;若报考人员所学专业未列入专业目录，报考人员可选择引才岗位中相近专业报考，由用人单位及主管部门通过比对专业课程设置等方式，综合研判认定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3.第一类人才原则上年龄不超过55周岁(1967年1月1日以后出生)，第二类人才年龄不超过50周岁(1972年1月1日以后出生)，第三类人才年龄不超过48周岁(1974年1月1日以后出生)，除特别说明外，四、五类人才均要求在45周岁以内(1977年1月1日以后出生)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4.在规定的学制内正常毕业并按期取得学历学位证书，博士研究生须在2022年12月31日前取得相应学历学位;国(境)外高校毕业生须在2022年12月31日前取得相应的学历学位和教育部留学服务中心出具的国(境)外学历学位认证书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5.服务期8年。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0" w:afterAutospacing="0" w:line="480" w:lineRule="atLeast"/>
        <w:ind w:left="0" w:right="0"/>
      </w:pPr>
      <w:r>
        <w:rPr>
          <w:i w:val="0"/>
          <w:iCs w:val="0"/>
          <w:caps w:val="0"/>
          <w:color w:val="000000"/>
          <w:spacing w:val="0"/>
        </w:rPr>
        <w:t>(二)有下列情形之一的人员不得报考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1.有组织、参与或支持损害国家安全、荣誉和利益行为的人员;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2.因犯罪受过刑事处罚的人员;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3.被开除中国共产党党籍、被开除公职或开除学籍的人员;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4.在校或工作期间有违法或严重违纪违规行为、学术不端和道德品行问题的人员;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5.被依法列为失信联合惩戒对象的人员;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6.法律法规规定不得报考的人员。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750909"/>
        <w:spacing w:before="300" w:beforeAutospacing="0" w:after="300" w:afterAutospacing="0" w:line="525" w:lineRule="atLeast"/>
        <w:ind w:left="0" w:right="0" w:firstLine="315"/>
        <w:rPr>
          <w:color w:val="FFFFFF"/>
          <w:sz w:val="27"/>
          <w:szCs w:val="27"/>
        </w:rPr>
      </w:pPr>
      <w:r>
        <w:rPr>
          <w:i w:val="0"/>
          <w:iCs w:val="0"/>
          <w:caps w:val="0"/>
          <w:color w:val="FFFFFF"/>
          <w:spacing w:val="0"/>
          <w:sz w:val="27"/>
          <w:szCs w:val="27"/>
          <w:shd w:val="clear" w:fill="750909"/>
        </w:rPr>
        <w:t>五、引才待遇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1.第一和第二类人才引进待遇，一人一议。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2.其他类人才引进待遇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解决事业编制，享受国家规定的工资、福利待遇，并根据聘用合同和考核结果享受如下待遇：</w:t>
      </w:r>
    </w:p>
    <w:tbl>
      <w:tblPr>
        <w:tblStyle w:val="9"/>
        <w:tblW w:w="17700" w:type="dxa"/>
        <w:tblInd w:w="0" w:type="dxa"/>
        <w:tblBorders>
          <w:top w:val="single" w:color="CCCCCC" w:sz="6" w:space="0"/>
          <w:left w:val="single" w:color="CCCCCC" w:sz="6" w:space="0"/>
          <w:bottom w:val="outset" w:color="auto" w:sz="0" w:space="0"/>
          <w:right w:val="outset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95"/>
        <w:gridCol w:w="3352"/>
        <w:gridCol w:w="6063"/>
        <w:gridCol w:w="2887"/>
        <w:gridCol w:w="3503"/>
      </w:tblGrid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7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4F9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11"/>
                <w:color w:val="000000"/>
                <w:sz w:val="21"/>
                <w:szCs w:val="21"/>
              </w:rPr>
              <w:t>人才类别</w:t>
            </w:r>
          </w:p>
        </w:tc>
        <w:tc>
          <w:tcPr>
            <w:tcW w:w="3338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4F9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11"/>
                <w:color w:val="000000"/>
                <w:sz w:val="21"/>
                <w:szCs w:val="21"/>
              </w:rPr>
              <w:t>安家费及人才津贴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11"/>
                <w:color w:val="000000"/>
                <w:sz w:val="21"/>
                <w:szCs w:val="21"/>
              </w:rPr>
              <w:t>（税后）</w:t>
            </w:r>
          </w:p>
        </w:tc>
        <w:tc>
          <w:tcPr>
            <w:tcW w:w="6038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4F9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11"/>
                <w:color w:val="000000"/>
                <w:sz w:val="21"/>
                <w:szCs w:val="21"/>
              </w:rPr>
              <w:t>博士津贴</w:t>
            </w:r>
          </w:p>
        </w:tc>
        <w:tc>
          <w:tcPr>
            <w:tcW w:w="28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4F9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11"/>
                <w:color w:val="000000"/>
                <w:sz w:val="21"/>
                <w:szCs w:val="21"/>
              </w:rPr>
              <w:t>科研启动费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11"/>
                <w:color w:val="000000"/>
                <w:sz w:val="21"/>
                <w:szCs w:val="21"/>
              </w:rPr>
              <w:t>（万元）</w:t>
            </w:r>
          </w:p>
        </w:tc>
        <w:tc>
          <w:tcPr>
            <w:tcW w:w="3488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4F9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11"/>
                <w:color w:val="000000"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8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第三类</w:t>
            </w:r>
          </w:p>
        </w:tc>
        <w:tc>
          <w:tcPr>
            <w:tcW w:w="3248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40万-64万</w:t>
            </w:r>
          </w:p>
        </w:tc>
        <w:tc>
          <w:tcPr>
            <w:tcW w:w="5948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</w:rPr>
              <w:t>服务期内学位津贴1000元/月。到校后（服务期内）获得主持立项国家自然科学基金或国家社会科学基金课题，则学位津贴调整为3000元/月，发放期3年。</w:t>
            </w:r>
          </w:p>
        </w:tc>
        <w:tc>
          <w:tcPr>
            <w:tcW w:w="2785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文科7万、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理工科12万</w:t>
            </w:r>
          </w:p>
        </w:tc>
        <w:tc>
          <w:tcPr>
            <w:tcW w:w="3398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</w:rPr>
              <w:t>前三年享受七级副教授绩效工资，符合条件者可申报学校内聘教授，入选后可享受相应岗位绩效工资待遇。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c>
          <w:tcPr>
            <w:tcW w:w="1798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第四类</w:t>
            </w:r>
          </w:p>
        </w:tc>
        <w:tc>
          <w:tcPr>
            <w:tcW w:w="3248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35万-47万</w:t>
            </w:r>
          </w:p>
        </w:tc>
        <w:tc>
          <w:tcPr>
            <w:tcW w:w="5948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785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398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8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第五类</w:t>
            </w:r>
          </w:p>
        </w:tc>
        <w:tc>
          <w:tcPr>
            <w:tcW w:w="3248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30万</w:t>
            </w:r>
          </w:p>
        </w:tc>
        <w:tc>
          <w:tcPr>
            <w:tcW w:w="5948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785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398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</w:tbl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特别优秀等情形的博士，其配偶如具有研究生学历及硕士以上学位的可酌情安排工作。若为我校学科专业特别紧缺人才，可实行一人一议。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750909"/>
        <w:spacing w:before="300" w:beforeAutospacing="0" w:after="300" w:afterAutospacing="0" w:line="525" w:lineRule="atLeast"/>
        <w:ind w:left="0" w:right="0" w:firstLine="315"/>
        <w:rPr>
          <w:color w:val="FFFFFF"/>
          <w:sz w:val="27"/>
          <w:szCs w:val="27"/>
        </w:rPr>
      </w:pPr>
      <w:r>
        <w:rPr>
          <w:i w:val="0"/>
          <w:iCs w:val="0"/>
          <w:caps w:val="0"/>
          <w:color w:val="FFFFFF"/>
          <w:spacing w:val="0"/>
          <w:sz w:val="27"/>
          <w:szCs w:val="27"/>
          <w:shd w:val="clear" w:fill="750909"/>
        </w:rPr>
        <w:t>六、待遇支付方式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1.安家费第一年支持30%，余下部分7年平均支付;或凭购房合同全部用于预借购房款;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2.学位津贴随工资按月发放;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3.科研启动费使用按宜春学院科研经费管理有关办法进行。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750909"/>
        <w:spacing w:before="300" w:beforeAutospacing="0" w:after="300" w:afterAutospacing="0" w:line="525" w:lineRule="atLeast"/>
        <w:ind w:left="0" w:right="0" w:firstLine="315"/>
        <w:rPr>
          <w:color w:val="FFFFFF"/>
          <w:sz w:val="27"/>
          <w:szCs w:val="27"/>
        </w:rPr>
      </w:pPr>
      <w:r>
        <w:rPr>
          <w:i w:val="0"/>
          <w:iCs w:val="0"/>
          <w:caps w:val="0"/>
          <w:color w:val="FFFFFF"/>
          <w:spacing w:val="0"/>
          <w:sz w:val="27"/>
          <w:szCs w:val="27"/>
          <w:shd w:val="clear" w:fill="750909"/>
        </w:rPr>
        <w:t>七、录用程序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1.考试方式：采用面试、试讲、考察相结合方式。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2.体检：在学校指定的卫生机构体检。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3.录用：经考试、体检、考察合格，报上级人社部门及编制管理部门审核后，办理上编手续。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750909"/>
        <w:spacing w:before="300" w:beforeAutospacing="0" w:after="300" w:afterAutospacing="0" w:line="525" w:lineRule="atLeast"/>
        <w:ind w:left="0" w:right="0" w:firstLine="315"/>
        <w:rPr>
          <w:color w:val="FFFFFF"/>
          <w:sz w:val="27"/>
          <w:szCs w:val="27"/>
        </w:rPr>
      </w:pPr>
      <w:r>
        <w:rPr>
          <w:i w:val="0"/>
          <w:iCs w:val="0"/>
          <w:caps w:val="0"/>
          <w:color w:val="FFFFFF"/>
          <w:spacing w:val="0"/>
          <w:sz w:val="27"/>
          <w:szCs w:val="27"/>
          <w:shd w:val="clear" w:fill="750909"/>
        </w:rPr>
        <w:t>八、报名时间及方式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为确保您方便、快捷的应聘我校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投递邮箱：ycxyzpb@163.com，邮件名为：姓名+学历+应聘岗位+毕业学校及专业+高校师资网，并抄送至gxszwhr@163.com。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更多校园招聘信息请添加客服李老师微信号码：13718504267 了解关注！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截止时间：博士报名截止2022年12月31日。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750909"/>
        <w:spacing w:before="300" w:beforeAutospacing="0" w:after="300" w:afterAutospacing="0" w:line="525" w:lineRule="atLeast"/>
        <w:ind w:left="0" w:right="0" w:firstLine="315"/>
        <w:rPr>
          <w:color w:val="FFFFFF"/>
          <w:sz w:val="27"/>
          <w:szCs w:val="27"/>
        </w:rPr>
      </w:pPr>
      <w:r>
        <w:rPr>
          <w:i w:val="0"/>
          <w:iCs w:val="0"/>
          <w:caps w:val="0"/>
          <w:color w:val="FFFFFF"/>
          <w:spacing w:val="0"/>
          <w:sz w:val="27"/>
          <w:szCs w:val="27"/>
          <w:shd w:val="clear" w:fill="750909"/>
        </w:rPr>
        <w:t>九、其它事宜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若因新冠肺炎疫情等不可抗力，报考人员无法到现场进行面试、试讲、考察等程序的，采取视频审查、视频面试等方式组织引进工作，但须在正式录用前完成现场资格复审、体检等程序。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750909"/>
        <w:spacing w:before="300" w:beforeAutospacing="0" w:after="300" w:afterAutospacing="0" w:line="525" w:lineRule="atLeast"/>
        <w:ind w:left="0" w:right="0" w:firstLine="315"/>
        <w:rPr>
          <w:color w:val="FFFFFF"/>
          <w:sz w:val="27"/>
          <w:szCs w:val="27"/>
        </w:rPr>
      </w:pPr>
      <w:r>
        <w:rPr>
          <w:i w:val="0"/>
          <w:iCs w:val="0"/>
          <w:caps w:val="0"/>
          <w:color w:val="FFFFFF"/>
          <w:spacing w:val="0"/>
          <w:sz w:val="27"/>
          <w:szCs w:val="27"/>
          <w:shd w:val="clear" w:fill="750909"/>
        </w:rPr>
        <w:t>十、咨询联系方式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联系人：陈老师 孔老师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联系电话：0795-3202690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地址：江西省宜春市学府路576号 邮编：336000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敬请关注学校官方微信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762000" cy="762000"/>
            <wp:effectExtent l="0" t="0" r="0" b="0"/>
            <wp:docPr id="1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IMG_26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  <w:shd w:val="clear" w:fill="FFFFFF"/>
        </w:rPr>
        <w:t>抄送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gxszw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hr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@163.com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  <w:shd w:val="clear" w:fill="FFFFFF"/>
        </w:rPr>
        <w:t xml:space="preserve"> 电子邮件命名格式：高校师资网+毕业学校+学历+应聘岗位+姓名）</w:t>
      </w:r>
      <w:r>
        <w:rPr>
          <w:rStyle w:val="11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30"/>
          <w:szCs w:val="30"/>
          <w:shd w:val="clear" w:fill="F3F3EB"/>
        </w:rPr>
        <w:t>QQ博士交流群：423550956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24"/>
          <w:szCs w:val="24"/>
        </w:rPr>
        <w:t>，</w:t>
      </w:r>
      <w:r>
        <w:rPr>
          <w:rStyle w:val="11"/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36"/>
          <w:szCs w:val="36"/>
          <w:shd w:val="clear" w:fill="F3F3EB"/>
        </w:rPr>
        <w:t>QQ硕士交流群</w:t>
      </w:r>
      <w:r>
        <w:rPr>
          <w:rStyle w:val="11"/>
          <w:rFonts w:ascii="Arial" w:hAnsi="Arial" w:eastAsia="宋体" w:cs="Arial"/>
          <w:i w:val="0"/>
          <w:iCs w:val="0"/>
          <w:caps w:val="0"/>
          <w:color w:val="FF0000"/>
          <w:spacing w:val="0"/>
          <w:sz w:val="36"/>
          <w:szCs w:val="36"/>
          <w:shd w:val="clear" w:fill="F3F3EB"/>
        </w:rPr>
        <w:t>： </w:t>
      </w:r>
      <w:r>
        <w:rPr>
          <w:rFonts w:hint="default" w:ascii="Verdana" w:hAnsi="Verdana" w:eastAsia="宋体" w:cs="Verdana"/>
          <w:i w:val="0"/>
          <w:iCs w:val="0"/>
          <w:caps w:val="0"/>
          <w:color w:val="FF0000"/>
          <w:spacing w:val="0"/>
          <w:sz w:val="36"/>
          <w:szCs w:val="36"/>
          <w:shd w:val="clear" w:fill="F3F3EB"/>
        </w:rPr>
        <w:t>223486794</w:t>
      </w:r>
      <w:r>
        <w:rPr>
          <w:rFonts w:ascii="宋体" w:hAnsi="宋体" w:eastAsia="宋体" w:cs="宋体"/>
          <w:color w:val="FF0000"/>
          <w:sz w:val="24"/>
          <w:szCs w:val="24"/>
        </w:rPr>
        <w:t>更多校园招聘信息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请同学添</w:t>
      </w:r>
      <w:r>
        <w:rPr>
          <w:rFonts w:ascii="宋体" w:hAnsi="宋体" w:eastAsia="宋体" w:cs="宋体"/>
          <w:color w:val="FF0000"/>
          <w:sz w:val="24"/>
          <w:szCs w:val="24"/>
        </w:rPr>
        <w:t>加客服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李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老师微信号码：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13718504267 咨询。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bdr w:val="single" w:color="808080" w:sz="4" w:space="0"/>
        </w:rPr>
        <w:drawing>
          <wp:inline distT="0" distB="0" distL="114300" distR="114300">
            <wp:extent cx="5556885" cy="2506980"/>
            <wp:effectExtent l="0" t="0" r="5715" b="7620"/>
            <wp:docPr id="2" name="图片 3" descr="C:\Users\xuanchan5\Desktop\1-211105094954260.jpg1-211105094954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C:\Users\xuanchan5\Desktop\1-211105094954260.jpg1-211105094954260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6885" cy="2506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inline distT="0" distB="0" distL="114300" distR="114300">
          <wp:extent cx="1332230" cy="385445"/>
          <wp:effectExtent l="0" t="0" r="1270" b="14605"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223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0NmE4MWVkMDkwZmE5ZGE2MmNkYzJkZWFkYWE5N2IifQ=="/>
  </w:docVars>
  <w:rsids>
    <w:rsidRoot w:val="00000000"/>
    <w:rsid w:val="026F1DDB"/>
    <w:rsid w:val="05362633"/>
    <w:rsid w:val="06121624"/>
    <w:rsid w:val="066C24D4"/>
    <w:rsid w:val="0A0B734B"/>
    <w:rsid w:val="0C462869"/>
    <w:rsid w:val="0C664807"/>
    <w:rsid w:val="0CC06E77"/>
    <w:rsid w:val="0D0965EF"/>
    <w:rsid w:val="0E012E11"/>
    <w:rsid w:val="0EEA674E"/>
    <w:rsid w:val="13357FD2"/>
    <w:rsid w:val="136C6A19"/>
    <w:rsid w:val="142E65AA"/>
    <w:rsid w:val="14674D1C"/>
    <w:rsid w:val="14B4453A"/>
    <w:rsid w:val="16575B52"/>
    <w:rsid w:val="17651D9A"/>
    <w:rsid w:val="17C85A7B"/>
    <w:rsid w:val="17E102E4"/>
    <w:rsid w:val="19022303"/>
    <w:rsid w:val="197856F4"/>
    <w:rsid w:val="1A373139"/>
    <w:rsid w:val="1B0373B9"/>
    <w:rsid w:val="1C59048D"/>
    <w:rsid w:val="1D7A0CFC"/>
    <w:rsid w:val="240E54C6"/>
    <w:rsid w:val="243877C4"/>
    <w:rsid w:val="24901CF7"/>
    <w:rsid w:val="2708689D"/>
    <w:rsid w:val="284852C7"/>
    <w:rsid w:val="28A3523A"/>
    <w:rsid w:val="28B450FC"/>
    <w:rsid w:val="28E50FE4"/>
    <w:rsid w:val="28F940AD"/>
    <w:rsid w:val="29784473"/>
    <w:rsid w:val="29A5786C"/>
    <w:rsid w:val="2AD21EA8"/>
    <w:rsid w:val="2D555DD2"/>
    <w:rsid w:val="312D4CDC"/>
    <w:rsid w:val="317E1E34"/>
    <w:rsid w:val="32A77C15"/>
    <w:rsid w:val="36E84922"/>
    <w:rsid w:val="387E5266"/>
    <w:rsid w:val="38974369"/>
    <w:rsid w:val="39673E7A"/>
    <w:rsid w:val="3A846D97"/>
    <w:rsid w:val="3AB918A1"/>
    <w:rsid w:val="3BB37D4C"/>
    <w:rsid w:val="3C7F11ED"/>
    <w:rsid w:val="3CEA7B05"/>
    <w:rsid w:val="3D0139F2"/>
    <w:rsid w:val="3D3842E3"/>
    <w:rsid w:val="3DDC43DC"/>
    <w:rsid w:val="3E363915"/>
    <w:rsid w:val="3E92015B"/>
    <w:rsid w:val="3EAA1942"/>
    <w:rsid w:val="3F7C6224"/>
    <w:rsid w:val="3FC157E6"/>
    <w:rsid w:val="401C7DAB"/>
    <w:rsid w:val="41374938"/>
    <w:rsid w:val="41722A03"/>
    <w:rsid w:val="418319D4"/>
    <w:rsid w:val="4211314D"/>
    <w:rsid w:val="42150FB8"/>
    <w:rsid w:val="43CC1B54"/>
    <w:rsid w:val="43EC365C"/>
    <w:rsid w:val="45715F26"/>
    <w:rsid w:val="46205718"/>
    <w:rsid w:val="49B45ACC"/>
    <w:rsid w:val="4A2C7866"/>
    <w:rsid w:val="4A3036A9"/>
    <w:rsid w:val="4A777E53"/>
    <w:rsid w:val="4AE47987"/>
    <w:rsid w:val="4AF01416"/>
    <w:rsid w:val="4C79125D"/>
    <w:rsid w:val="4CA321D6"/>
    <w:rsid w:val="4F551D79"/>
    <w:rsid w:val="52C1090F"/>
    <w:rsid w:val="530B538C"/>
    <w:rsid w:val="5324487A"/>
    <w:rsid w:val="53D0659F"/>
    <w:rsid w:val="54875206"/>
    <w:rsid w:val="56061EFD"/>
    <w:rsid w:val="56B21980"/>
    <w:rsid w:val="57A50FB7"/>
    <w:rsid w:val="57F81DBC"/>
    <w:rsid w:val="58762146"/>
    <w:rsid w:val="58B52EC7"/>
    <w:rsid w:val="5A900BEA"/>
    <w:rsid w:val="5AE16AFA"/>
    <w:rsid w:val="5B3A0978"/>
    <w:rsid w:val="5BCF6CF7"/>
    <w:rsid w:val="5CA83573"/>
    <w:rsid w:val="5CD63BB3"/>
    <w:rsid w:val="5D7D254B"/>
    <w:rsid w:val="5D9D46E7"/>
    <w:rsid w:val="5E3E4766"/>
    <w:rsid w:val="5F0B300C"/>
    <w:rsid w:val="5F231959"/>
    <w:rsid w:val="60CE4002"/>
    <w:rsid w:val="61145AFA"/>
    <w:rsid w:val="611D2983"/>
    <w:rsid w:val="6155612F"/>
    <w:rsid w:val="621C0FB1"/>
    <w:rsid w:val="625B1B8B"/>
    <w:rsid w:val="628960F2"/>
    <w:rsid w:val="63353CFD"/>
    <w:rsid w:val="63884061"/>
    <w:rsid w:val="63B5655B"/>
    <w:rsid w:val="64F85E07"/>
    <w:rsid w:val="659F265C"/>
    <w:rsid w:val="65E41B50"/>
    <w:rsid w:val="662629B3"/>
    <w:rsid w:val="6628055F"/>
    <w:rsid w:val="66DF0D95"/>
    <w:rsid w:val="6C1C13EA"/>
    <w:rsid w:val="6E796040"/>
    <w:rsid w:val="6F9E0371"/>
    <w:rsid w:val="70442827"/>
    <w:rsid w:val="719C53F7"/>
    <w:rsid w:val="71C44F5A"/>
    <w:rsid w:val="71EA2F0F"/>
    <w:rsid w:val="71F87EEC"/>
    <w:rsid w:val="720F4553"/>
    <w:rsid w:val="72F217A0"/>
    <w:rsid w:val="73AF2CDC"/>
    <w:rsid w:val="74AA7333"/>
    <w:rsid w:val="751A0D6F"/>
    <w:rsid w:val="7532297B"/>
    <w:rsid w:val="75A67861"/>
    <w:rsid w:val="77AF4057"/>
    <w:rsid w:val="78401297"/>
    <w:rsid w:val="79F62A1A"/>
    <w:rsid w:val="7A3139E1"/>
    <w:rsid w:val="7A6C77FB"/>
    <w:rsid w:val="7A772BA1"/>
    <w:rsid w:val="7AA12051"/>
    <w:rsid w:val="7C85396A"/>
    <w:rsid w:val="7C9943B8"/>
    <w:rsid w:val="7CC83BB2"/>
    <w:rsid w:val="7ED2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4B4B4B"/>
      <w:u w:val="none"/>
    </w:rPr>
  </w:style>
  <w:style w:type="character" w:styleId="13">
    <w:name w:val="Emphasis"/>
    <w:basedOn w:val="10"/>
    <w:qFormat/>
    <w:uiPriority w:val="0"/>
    <w:rPr>
      <w:i/>
    </w:rPr>
  </w:style>
  <w:style w:type="character" w:styleId="14">
    <w:name w:val="Hyperlink"/>
    <w:basedOn w:val="10"/>
    <w:qFormat/>
    <w:uiPriority w:val="0"/>
    <w:rPr>
      <w:color w:val="0000FF"/>
      <w:u w:val="single"/>
    </w:rPr>
  </w:style>
  <w:style w:type="character" w:customStyle="1" w:styleId="15">
    <w:name w:val="bsharetext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118</Characters>
  <Lines>0</Lines>
  <Paragraphs>0</Paragraphs>
  <TotalTime>0</TotalTime>
  <ScaleCrop>false</ScaleCrop>
  <LinksUpToDate>false</LinksUpToDate>
  <CharactersWithSpaces>121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你该如何回忆我</cp:lastModifiedBy>
  <dcterms:modified xsi:type="dcterms:W3CDTF">2023-01-09T06:10:52Z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468A9DA0C1994F43A76EB771EE12B21B</vt:lpwstr>
  </property>
</Properties>
</file>