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bookmarkStart w:id="0" w:name="_GoBack"/>
      <w:r>
        <w:rPr>
          <w:rFonts w:hint="eastAsia" w:ascii="微软雅黑" w:hAnsi="微软雅黑" w:eastAsia="微软雅黑" w:cs="微软雅黑"/>
          <w:i w:val="0"/>
          <w:iCs w:val="0"/>
          <w:caps w:val="0"/>
          <w:color w:val="000000"/>
          <w:spacing w:val="0"/>
          <w:sz w:val="48"/>
          <w:szCs w:val="48"/>
          <w:bdr w:val="none" w:color="auto" w:sz="0" w:space="0"/>
        </w:rPr>
        <w:t>广西中医药大学2022年</w:t>
      </w:r>
      <w:r>
        <w:rPr>
          <w:rFonts w:hint="eastAsia" w:ascii="微软雅黑" w:hAnsi="微软雅黑" w:eastAsia="微软雅黑" w:cs="微软雅黑"/>
          <w:i w:val="0"/>
          <w:iCs w:val="0"/>
          <w:caps w:val="0"/>
          <w:color w:val="000000"/>
          <w:spacing w:val="0"/>
          <w:sz w:val="48"/>
          <w:szCs w:val="48"/>
          <w:bdr w:val="none" w:color="auto" w:sz="0" w:space="0"/>
          <w:lang w:val="en-US" w:eastAsia="zh-CN"/>
        </w:rPr>
        <w:t>引进</w:t>
      </w:r>
      <w:r>
        <w:rPr>
          <w:rFonts w:hint="eastAsia" w:ascii="微软雅黑" w:hAnsi="微软雅黑" w:eastAsia="微软雅黑" w:cs="微软雅黑"/>
          <w:i w:val="0"/>
          <w:iCs w:val="0"/>
          <w:caps w:val="0"/>
          <w:color w:val="000000"/>
          <w:spacing w:val="0"/>
          <w:sz w:val="48"/>
          <w:szCs w:val="48"/>
          <w:bdr w:val="none" w:color="auto" w:sz="0" w:space="0"/>
        </w:rPr>
        <w:t>公告</w:t>
      </w:r>
      <w:bookmarkEnd w:id="0"/>
    </w:p>
    <w:p>
      <w:pPr>
        <w:keepNext w:val="0"/>
        <w:keepLines w:val="0"/>
        <w:widowControl/>
        <w:suppressLineNumbers w:val="0"/>
        <w:pBdr>
          <w:top w:val="none" w:color="auto" w:sz="0" w:space="0"/>
          <w:left w:val="none" w:color="auto" w:sz="0" w:space="0"/>
          <w:bottom w:val="single" w:color="E0E0E0" w:sz="6" w:space="7"/>
          <w:right w:val="none" w:color="auto" w:sz="0" w:space="0"/>
        </w:pBdr>
        <w:spacing w:before="0" w:beforeAutospacing="0" w:after="225" w:afterAutospacing="0"/>
        <w:ind w:left="0" w:right="0" w:firstLine="0"/>
        <w:jc w:val="center"/>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begin"/>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instrText xml:space="preserve"> HYPERLINK "https://www.gxszw.com/zhaopin/gxzyy/52429.html" \o "广西中医药大学2022年引进高层次" </w:instrTex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separate"/>
      </w:r>
      <w:r>
        <w:rPr>
          <w:rStyle w:val="14"/>
          <w:rFonts w:hint="eastAsia" w:ascii="微软雅黑" w:hAnsi="微软雅黑" w:eastAsia="微软雅黑" w:cs="微软雅黑"/>
          <w:i w:val="0"/>
          <w:iCs w:val="0"/>
          <w:caps w:val="0"/>
          <w:color w:val="FFFFFF"/>
          <w:spacing w:val="0"/>
          <w:sz w:val="27"/>
          <w:szCs w:val="27"/>
          <w:u w:val="none"/>
          <w:bdr w:val="none" w:color="auto" w:sz="0" w:space="0"/>
        </w:rPr>
        <w:t>2022年引进高层次领军人才及113名博士公告</w: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end"/>
      </w:r>
      <w:r>
        <w:rPr>
          <w:rFonts w:hint="eastAsia" w:ascii="微软雅黑" w:hAnsi="微软雅黑" w:eastAsia="微软雅黑" w:cs="微软雅黑"/>
          <w:i w:val="0"/>
          <w:iCs w:val="0"/>
          <w:caps w:val="0"/>
          <w:color w:val="444444"/>
          <w:spacing w:val="0"/>
          <w:kern w:val="0"/>
          <w:sz w:val="21"/>
          <w:szCs w:val="21"/>
          <w:bdr w:val="none" w:color="auto" w:sz="0" w:space="0"/>
          <w:lang w:val="en-US" w:eastAsia="zh-CN" w:bidi="ar"/>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根据《广西壮族自治区事业单位公开招聘人员实施办法》(桂人社发〔2011〕155号)及《广西壮族自治区人力资源和社会保障厅关于落实“放管服”改革精简事业单位增人手续的通知》(桂人社规〔2018〕27号)等精神，结合实际工作需要，2022年我校面向国内外</w:t>
      </w:r>
      <w:r>
        <w:rPr>
          <w:rStyle w:val="11"/>
          <w:rFonts w:hint="eastAsia" w:ascii="微软雅黑" w:hAnsi="微软雅黑" w:eastAsia="微软雅黑" w:cs="微软雅黑"/>
          <w:i w:val="0"/>
          <w:iCs w:val="0"/>
          <w:caps w:val="0"/>
          <w:color w:val="000000"/>
          <w:spacing w:val="0"/>
          <w:sz w:val="21"/>
          <w:szCs w:val="21"/>
          <w:bdr w:val="none" w:color="auto" w:sz="0" w:space="0"/>
        </w:rPr>
        <w:t>引进高层次人才团队及领军人才若干名，公开招聘博士113名。</w:t>
      </w:r>
      <w:r>
        <w:rPr>
          <w:rFonts w:hint="eastAsia" w:ascii="微软雅黑" w:hAnsi="微软雅黑" w:eastAsia="微软雅黑" w:cs="微软雅黑"/>
          <w:i w:val="0"/>
          <w:iCs w:val="0"/>
          <w:caps w:val="0"/>
          <w:color w:val="000000"/>
          <w:spacing w:val="0"/>
          <w:sz w:val="21"/>
          <w:szCs w:val="21"/>
          <w:bdr w:val="none" w:color="auto" w:sz="0" w:space="0"/>
        </w:rPr>
        <w:t>现公告如下：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7B6642"/>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7B6642"/>
        </w:rPr>
        <w:t>一、学校简介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广西中医药大学创建于1956年，其前身是1934年成立的广西省立南宁区医药研究所，是我国5个少数民族自治区中唯一独立建制的高等中医药院校。2012年3月经国家教育部批准正式更名为广西中医药大学，也是国家中西部基础能力建设高校及国家中医药管理局与广西壮族自治区共建高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以中医药学科为主，医、理、工、管等多学科协调发展，具有鲜明中医药、民族医药特色，产学研医紧密结合、对外交流合作优势突出，有仙葫、明秀2个校区，总占地面积1310.99亩。设有14个学院，3个直属公共教学部。有14所附属医院(其中直属附属医院3所，地方附属医院11所),1所附设中医学校，1家校办制药厂，1所独立学院。有重阳城老年公寓等一批在全国行业内有一定影响力的产学研基地和教学实践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人才培养成效显著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牢固树立“立德树人”的育人观，大力实施“人才强校、质量兴校”战略。学校拥有一支教学经验丰富、结构合理的师资队伍，有本科专业27个，其中有国家综合改革试点专业1个、国家级特色专业3个、卓越医生(中医)教育培养计划改革试点项目2个、省级优质特色专业(群)9个、省级特色专业及实验实训教学基地(中心)一体化建设项目8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学科建设稳步发展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是博士学位授予单位，有博士学位授权一级学科1个、硕士学位授权一级学科6个，博士专业学位类别1个、硕士专业学位类别4个，二级学科硕士学位授权学科43个，是硕士研究生推免资格高校;有国家临床重点专科11个，国家中医药管理局中医药重点学科15个，国家中医药管理局中医药重点培育学科4个，国家中医药管理局重点专科13个，国家中医药管理局重点培育专科4个;有广西一流学科(含培育)3个，广西优势特色重点学科4个，广西重点学科6个，广西民族院校特色学科1个;广西中医药重点学科(含培育)55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科学研究成果丰硕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以中医药、壮瑶医药研究为重点，加强科研创新基地与科技创新平台建设，广西中医药科学实验中心是全国中医药民族医药最大的创新共享平台之一。有1个中-泰传统药物研究联合实验室、1个中—澳传统药物现代研究联合研究实验室、1个中—加斑马鱼中药筛选联合实验室、1个中国-东盟传统药物研究国际合作联合实验室，4个国家中医药管理局中医药科研三级重点实验室，4个广西壮族自治区重点实验室，广西高校重点实验室8个(含培育)，广西卫生健康委员会重点实验室4个(含培育)。拥有广西首批“2011协同创新中心”各1个，广西“2011协同创新中心”建设基地2个、校地校企共建科技创新平台3个。</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社会服务优势明显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以第一附属医院、附属瑞康医院、制药厂为依托，学校有36个国药准字号药品、200多种院内制剂、10多种成果转化产品。近年来，学校利用中药药效筛选实验室等省级重点实验室和两所直属附属医院的“国家药品临床研究基地”等系列技术平台，学校先后为区内外25个省区的100多家医药企业、科研院所或个人提供技术服务，完成了上百个中医药品种的处方论证、毒理试验、药效筛选与评价等研究，产生了很好的经济效益和社会效益。同时学校还提供原料检测、中药质量真伪优劣评价，中药农药残留等技术服务，建立起中医药科技服务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文化传承创新显特色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学校循本而开弘，始终把文化的传承与创新作为自己的历史使命。近年来，学校重点建设了一批特色鲜明、实力雄厚的人文学科研究基地，促进文物和非物质文化遗产保护。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学校对壮医药进行挖掘研究，挖掘整理了一批以壮医药线点灸为代表的临床诊疗技术，创立了壮药质量标准体系。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国际交流合作广泛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是国家中医药管理局中国—东盟传统医药交流合作中心人才培养基地。学校充分利用自身的办学特色和优势服务国家“一带一路”倡议，积极推进与其他国家在中医药民族医药、医疗保健、人才培养、科研开发等方面的合作交流，形成以东盟国家及港澳台地区为中心、辐射全球的对外教育新格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将秉承“弘毅自强，传承创新”的校训精神，不断提升学校的核心竞争力和办学水平，立足广西、面向全国、辐射东盟、走向世界，力争建设成为以中医中药学科为主体，医、理、工、管兼容，产学研结合突出、民族医药特色鲜明、人文精神高贵的国内知名、区域一流的综合性中医药大学，成为培养综合素质高、创新创业能力强的应用型中医药民族医药人才及其他复合型人才的重要基地，成为壮瑶等民族医药科研创新及其文化传播中心，成为促进区域医疗健康产业发展的主要力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7B6642"/>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7B6642"/>
        </w:rPr>
        <w:t>二、基本条件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(一)遵守中华人民共和国宪法和法律，热爱高等教育事业;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(二)品行良好，具有良好的团队协作精神;</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(三)身体健康，具备岗位要求的条件;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(四)具有博士学位(含2022年12月30日前取得博士学位者);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(五)年龄原则上不超过50岁(时间计算到本次招聘报名截止日，对年龄有特别要求的岗位，以招聘岗位要求为准，高层次领军人才可适当放宽);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(六)具有下列情形之一的人员，不得报考: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1.受到党纪、政纪处分未解除者;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2.受刑事处罚或正在接受司法调查尚未做出结论的人员;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3.现役军人;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4.法律规定不得招聘为事业单位工作人员的其他情形的人员。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三、高层次人才团队及领军人才的引进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(一)引进方式：全职或柔性引进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(二)范围及待遇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学校根据“双一流”学科建设和高层次人才队伍建设的需要，引进中医学、中药学、中西医结合等相关学科的高层次人才团队1-2个。引进的具体条件及待遇面议。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领军人才：在国(境)内外学术界具有较高学术地位的知名专家，在本学科专业领域有突出学术成就，具备领导本学科赶超国(境)内外先进水平的能力，具有高级职称及博士学位。引进的具体条件及待遇面议。具有下列条件之一者，优先考虑：</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7700"/>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1042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第一类：两院院士，中国社会科学院学部委员，中国中医科学院学部委员，国家高等学校一级教授，国务院学科评议组召集人，教育部高等学校教学指导委员会主任委员、副主任委员。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第二类：入选（获得）过国家中组部、科技部、教育部、中医药管理局等部委局的国家级高层次人才培养计划（含重点领域创新团队）或荣誉称号，如国医大师、长江学者、全国名中医、岐黄学者、百千万人才工程国家级人选、中国科学院“百人计划”人选等；国务院学科评议组成员，教育部高等学校教学指导委员会委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第三类：担任过国家级科研平台（载体）负责人，如国家（重点）实验室主任、国家工程实验室主任等；或主持承担过国家（国家自然科学基金、社会科学基金）重大（重点）科研项目、创新研究群体、杰出青年、优秀青年项目等高水平科研项目，如国家重点研发计划项目负责人、国家自然科学基金重大研究计划项目主持人、国家社会科学基金重大项目首席专家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第四类：以第一完成人获得过国家科学技术奖、自然科学奖、技术发明奖、科技进步奖、教学成果奖等高水平科研教学类奖励一、二等奖或以第一完成人获得过国家社会科学基金项目优秀成果特别荣誉奖、专著类一等奖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第五类：入选过省级重大重点人才培养计划，如八桂学者、特聘专家、广西医学高层次人才培养计划领军人才等；或担任省级科研平台（载体）负责人或国家级科研平台（载体）副主任，如广西重点实验室主任、工程技术研究中心主任、国家（重点）实验室副主任等；或以第一完成人获得省部级科学技术奖（含自然科学奖、技术发明奖、科技进步奖、非论文类的哲学社会科学奖）一等奖；或主持承担过国家科技重大专项课题、国家科技支撑（攻关）计划项目课题（不含子项目、子课题）。</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(三)引进程序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1.报名时间：</w:t>
      </w:r>
      <w:r>
        <w:rPr>
          <w:rFonts w:hint="eastAsia" w:ascii="微软雅黑" w:hAnsi="微软雅黑" w:eastAsia="微软雅黑" w:cs="微软雅黑"/>
          <w:i w:val="0"/>
          <w:iCs w:val="0"/>
          <w:caps w:val="0"/>
          <w:color w:val="000000"/>
          <w:spacing w:val="0"/>
          <w:sz w:val="21"/>
          <w:szCs w:val="21"/>
          <w:bdr w:val="none" w:color="auto" w:sz="0" w:space="0"/>
        </w:rPr>
        <w:t>即日起至2022年12月30日。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2.报名方式</w:t>
      </w:r>
      <w:r>
        <w:rPr>
          <w:rFonts w:hint="eastAsia" w:ascii="微软雅黑" w:hAnsi="微软雅黑" w:eastAsia="微软雅黑" w:cs="微软雅黑"/>
          <w:i w:val="0"/>
          <w:iCs w:val="0"/>
          <w:caps w:val="0"/>
          <w:color w:val="000000"/>
          <w:spacing w:val="0"/>
          <w:sz w:val="21"/>
          <w:szCs w:val="21"/>
          <w:bdr w:val="none" w:color="auto" w:sz="0" w:space="0"/>
        </w:rPr>
        <w:t>(可选择以下两种方式报名)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(1)网上投递：团队或个人相关简历材料及证明、聘期工作计划等文件电子版统一发送到邮箱：gzyrsc2018@163.com。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(2)现场报名：将团队或个人相关简历材料及证明、聘期工作计划等交到广西中医药大学人事处，进行现场报名。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3.资格审查。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人事处会同相关单位(部门)对应聘团队或个人材料初步审核，并提出审核意见。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4.人才评议。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由学校组织人才工作专家根据应聘材料对其学术水平、思想道德水平、业务能力、发展潜力和工作计划等进行评议，根据评议结果，形成人才引进方案报校领导审定。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5.签订合同。</w:t>
      </w:r>
      <w:r>
        <w:rPr>
          <w:rFonts w:hint="eastAsia" w:ascii="微软雅黑" w:hAnsi="微软雅黑" w:eastAsia="微软雅黑" w:cs="微软雅黑"/>
          <w:i w:val="0"/>
          <w:iCs w:val="0"/>
          <w:caps w:val="0"/>
          <w:color w:val="000000"/>
          <w:spacing w:val="0"/>
          <w:sz w:val="21"/>
          <w:szCs w:val="21"/>
          <w:bdr w:val="none" w:color="auto" w:sz="0" w:space="0"/>
        </w:rPr>
        <w:t>学校与引进人才签订引进合同并办理有关手续。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7B6642"/>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7B6642"/>
        </w:rPr>
        <w:t>四、博士的引进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(一)招聘的</w:t>
      </w:r>
      <w:r>
        <w:rPr>
          <w:i w:val="0"/>
          <w:iCs w:val="0"/>
          <w:caps w:val="0"/>
          <w:color w:val="4B4B4B"/>
          <w:spacing w:val="0"/>
          <w:u w:val="none"/>
          <w:bdr w:val="none" w:color="auto" w:sz="0" w:space="0"/>
        </w:rPr>
        <w:fldChar w:fldCharType="begin"/>
      </w:r>
      <w:r>
        <w:rPr>
          <w:i w:val="0"/>
          <w:iCs w:val="0"/>
          <w:caps w:val="0"/>
          <w:color w:val="4B4B4B"/>
          <w:spacing w:val="0"/>
          <w:u w:val="none"/>
          <w:bdr w:val="none" w:color="auto" w:sz="0" w:space="0"/>
        </w:rPr>
        <w:instrText xml:space="preserve"> HYPERLINK "http://www.gxszw.com/boshi/" \t "https://www.gxszw.com/zhaopin/gxzyy/_blank" </w:instrText>
      </w:r>
      <w:r>
        <w:rPr>
          <w:i w:val="0"/>
          <w:iCs w:val="0"/>
          <w:caps w:val="0"/>
          <w:color w:val="4B4B4B"/>
          <w:spacing w:val="0"/>
          <w:u w:val="none"/>
          <w:bdr w:val="none" w:color="auto" w:sz="0" w:space="0"/>
        </w:rPr>
        <w:fldChar w:fldCharType="separate"/>
      </w:r>
      <w:r>
        <w:rPr>
          <w:rStyle w:val="14"/>
          <w:i w:val="0"/>
          <w:iCs w:val="0"/>
          <w:caps w:val="0"/>
          <w:color w:val="4B4B4B"/>
          <w:spacing w:val="0"/>
          <w:u w:val="single"/>
          <w:bdr w:val="none" w:color="auto" w:sz="0" w:space="0"/>
        </w:rPr>
        <w:t>博士人才</w:t>
      </w:r>
      <w:r>
        <w:rPr>
          <w:i w:val="0"/>
          <w:iCs w:val="0"/>
          <w:caps w:val="0"/>
          <w:color w:val="4B4B4B"/>
          <w:spacing w:val="0"/>
          <w:u w:val="none"/>
          <w:bdr w:val="none" w:color="auto" w:sz="0" w:space="0"/>
        </w:rPr>
        <w:fldChar w:fldCharType="end"/>
      </w:r>
      <w:r>
        <w:rPr>
          <w:i w:val="0"/>
          <w:iCs w:val="0"/>
          <w:caps w:val="0"/>
          <w:color w:val="000000"/>
          <w:spacing w:val="0"/>
          <w:bdr w:val="none" w:color="auto" w:sz="0" w:space="0"/>
        </w:rPr>
        <w:t>层次</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623"/>
        <w:gridCol w:w="15077"/>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54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人才层次</w:t>
            </w:r>
          </w:p>
        </w:tc>
        <w:tc>
          <w:tcPr>
            <w:tcW w:w="888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条件</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54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sz w:val="21"/>
                <w:szCs w:val="21"/>
                <w:bdr w:val="none" w:color="auto" w:sz="0" w:space="0"/>
              </w:rPr>
              <w:t>拔尖人才</w:t>
            </w:r>
          </w:p>
        </w:tc>
        <w:tc>
          <w:tcPr>
            <w:tcW w:w="88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具有较高学术造诣，在本学科领域有突出学术成就，能够带领、指导和组织有关人员开展学术研究，并取得研究成果的专家。拔尖人才应原则上应具有高级职称及博士学位，特别优秀的博士可放宽职称限制。同时应具备以下条件之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1.五年内（报到时间往前推算五年）获得1项国家级科技奖奖励（排名前十）；或获得1项省部级科技奖奖励（排名第1）；或获得2项省部级科技奖奖励（其中一等奖排名第2—第7，二等奖排名前5，三等奖排名前3）；或由政府颁发的省部级社科科研成果奖（非论文类）一等奖（排名第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2.五年内（报到时间往前推算五年）主持并完成1项国家级科研项目，通过相应主管部门验收，并取得一定科研成果。</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54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sz w:val="21"/>
                <w:szCs w:val="21"/>
                <w:bdr w:val="none" w:color="auto" w:sz="0" w:space="0"/>
              </w:rPr>
              <w:t>博士</w:t>
            </w:r>
          </w:p>
        </w:tc>
        <w:tc>
          <w:tcPr>
            <w:tcW w:w="88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博士应具备博士研究生学历学位，年龄原则上不超过45岁，近五年以第一作者或通讯作者在本学科领域发表高水平学术论文，具有较强的实践能力和创新能力。</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(二)招聘岗位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我校面向国内外公开招聘各层次博士113名。具体岗位及相关要求详见《广西中医药大学2022年公开招聘博士计划表》(附件1)。</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541"/>
        <w:gridCol w:w="1172"/>
        <w:gridCol w:w="1938"/>
        <w:gridCol w:w="1707"/>
        <w:gridCol w:w="614"/>
        <w:gridCol w:w="887"/>
        <w:gridCol w:w="1991"/>
        <w:gridCol w:w="3285"/>
        <w:gridCol w:w="1235"/>
        <w:gridCol w:w="825"/>
        <w:gridCol w:w="825"/>
        <w:gridCol w:w="1949"/>
        <w:gridCol w:w="731"/>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PrEx>
        <w:trPr>
          <w:trHeight w:val="675" w:hRule="atLeast"/>
        </w:trPr>
        <w:tc>
          <w:tcPr>
            <w:tcW w:w="63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序号</w:t>
            </w:r>
          </w:p>
        </w:tc>
        <w:tc>
          <w:tcPr>
            <w:tcW w:w="148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单位（部门）</w:t>
            </w:r>
          </w:p>
        </w:tc>
        <w:tc>
          <w:tcPr>
            <w:tcW w:w="231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科室/教研室</w:t>
            </w:r>
          </w:p>
        </w:tc>
        <w:tc>
          <w:tcPr>
            <w:tcW w:w="211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岗位名称</w:t>
            </w:r>
          </w:p>
        </w:tc>
        <w:tc>
          <w:tcPr>
            <w:tcW w:w="73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岗位代码</w:t>
            </w:r>
          </w:p>
        </w:tc>
        <w:tc>
          <w:tcPr>
            <w:tcW w:w="108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岗位类别</w:t>
            </w:r>
          </w:p>
        </w:tc>
        <w:tc>
          <w:tcPr>
            <w:tcW w:w="261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工作内容</w:t>
            </w:r>
          </w:p>
        </w:tc>
        <w:tc>
          <w:tcPr>
            <w:tcW w:w="436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专业</w:t>
            </w:r>
          </w:p>
        </w:tc>
        <w:tc>
          <w:tcPr>
            <w:tcW w:w="166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学历学位</w:t>
            </w:r>
          </w:p>
        </w:tc>
        <w:tc>
          <w:tcPr>
            <w:tcW w:w="108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职称</w:t>
            </w:r>
          </w:p>
        </w:tc>
        <w:tc>
          <w:tcPr>
            <w:tcW w:w="108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年龄</w:t>
            </w:r>
          </w:p>
        </w:tc>
        <w:tc>
          <w:tcPr>
            <w:tcW w:w="255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其他</w:t>
            </w:r>
          </w:p>
        </w:tc>
        <w:tc>
          <w:tcPr>
            <w:tcW w:w="90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bdr w:val="none" w:color="auto" w:sz="0" w:space="0"/>
                <w:lang w:val="en-US" w:eastAsia="zh-CN" w:bidi="ar"/>
              </w:rPr>
              <w:t>拟增人员数量</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c>
          <w:tcPr>
            <w:tcW w:w="1485" w:type="dxa"/>
            <w:vMerge w:val="restart"/>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基础医学院</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温病学教研室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温病学教师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01</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中医临床基础</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本科需为中医学专业</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中医诊断学教研室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中医诊断学教师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02</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中医诊断学、中医内科学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医古文教研室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医古文教师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03</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汉语言文字学、中医医史文献（医古文方向）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中医各家学说教研室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中医各家学说教师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04</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中医医史文献</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生理学教研室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生理学教师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05</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临床医学与医学技术类、基础医学类、生物科学及技术类、中西医结合基础、药理学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要求具有医学背景</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w:t>
            </w:r>
          </w:p>
        </w:tc>
        <w:tc>
          <w:tcPr>
            <w:tcW w:w="1485" w:type="dxa"/>
            <w:vMerge w:val="restart"/>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药学院</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中药学</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临床中药学学科带头人</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06</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负责临床中药学学科建设，临床中药学的教学与科研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中药药理学</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中药药理学学科带头人</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07</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负责中药药理学学科建设，中药药理学的教学与科研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研究方向为中药药理学</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中药炮制学</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中药炮制学学科带头人</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08</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负责中药炮制学学科建设，中药炮制学的教学与科研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研究方向为中药炮制学</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药剂学</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药剂学学科带头人</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09</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负责药剂学学科建设，药剂学的教学与科研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药剂学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10</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药理学</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药理学学科带头人</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10</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负责药理学学科建设，药理学的教学与科研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药理学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11</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药物分析</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药物分析学学科带头人</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11</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负责药物分析学学科建设，药物分析的教学与科研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药物分析</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12</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中药鉴定学</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生药学学科带头人</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12</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负责生药学学科建设，生药学的教学与科研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生药学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13</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药物化学</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药物化学学科带头人</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13</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负责药物化学学科建设，药物化学的教学与科研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药物化学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14</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制药工程教研室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制药工程教师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14</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制药工程</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35周岁及以下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中共党员优先</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15</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药剂教研室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药剂教师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15</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中药学、药剂学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35周岁及以下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中共党员优先</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16</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drawing>
                <wp:inline distT="0" distB="0" distL="114300" distR="114300">
                  <wp:extent cx="9525" cy="9525"/>
                  <wp:effectExtent l="0" t="0" r="0" b="0"/>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r>
              <w:rPr>
                <w:rFonts w:ascii="宋体" w:hAnsi="宋体" w:eastAsia="宋体" w:cs="宋体"/>
                <w:kern w:val="0"/>
                <w:sz w:val="21"/>
                <w:szCs w:val="21"/>
                <w:bdr w:val="none" w:color="auto" w:sz="0" w:space="0"/>
                <w:lang w:val="en-US" w:eastAsia="zh-CN" w:bidi="ar"/>
              </w:rPr>
              <w:drawing>
                <wp:inline distT="0" distB="0" distL="114300" distR="114300">
                  <wp:extent cx="9525" cy="9525"/>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r>
              <w:rPr>
                <w:rFonts w:ascii="宋体" w:hAnsi="宋体" w:eastAsia="宋体" w:cs="宋体"/>
                <w:kern w:val="0"/>
                <w:sz w:val="21"/>
                <w:szCs w:val="21"/>
                <w:bdr w:val="none" w:color="auto" w:sz="0" w:space="0"/>
                <w:lang w:val="en-US" w:eastAsia="zh-CN" w:bidi="ar"/>
              </w:rPr>
              <w:drawing>
                <wp:inline distT="0" distB="0" distL="114300" distR="114300">
                  <wp:extent cx="9525" cy="9525"/>
                  <wp:effectExtent l="0" t="0" r="0" b="0"/>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r>
              <w:rPr>
                <w:rFonts w:ascii="宋体" w:hAnsi="宋体" w:eastAsia="宋体" w:cs="宋体"/>
                <w:kern w:val="0"/>
                <w:sz w:val="21"/>
                <w:szCs w:val="21"/>
                <w:bdr w:val="none" w:color="auto" w:sz="0" w:space="0"/>
                <w:lang w:val="en-US" w:eastAsia="zh-CN" w:bidi="ar"/>
              </w:rPr>
              <w:t>中药商品与药事管理教研室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药事管理教师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16</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药学类</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35周岁及以下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有“药事管理”专业背景，中共党员优先</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17</w:t>
            </w:r>
          </w:p>
        </w:tc>
        <w:tc>
          <w:tcPr>
            <w:tcW w:w="148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骨伤学院</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骨伤学院基础教研室</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中医骨伤教师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17</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中医骨伤科学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18</w:t>
            </w:r>
          </w:p>
        </w:tc>
        <w:tc>
          <w:tcPr>
            <w:tcW w:w="1485" w:type="dxa"/>
            <w:vMerge w:val="restart"/>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针灸推拿学院</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基础教研室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针推基础教师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18</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针灸推拿学、推拿、针灸学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19</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针推临床教师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19</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针灸推拿学、推拿、针灸学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w:t>
            </w:r>
          </w:p>
        </w:tc>
        <w:tc>
          <w:tcPr>
            <w:tcW w:w="148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壮医药学院</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壮医基础理论教研室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壮医基础理论教师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20</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中医内科、中医基础理论</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21</w:t>
            </w:r>
          </w:p>
        </w:tc>
        <w:tc>
          <w:tcPr>
            <w:tcW w:w="1485" w:type="dxa"/>
            <w:vMerge w:val="restart"/>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护理学院</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临床护理教研室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临床护理教师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21</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护理类、临床医学与医学技术类（临床医学、中西医结合临床）、基础医学类</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45周岁及以下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本科或研究生期间专业为医学类专业</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22</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护理人文教研室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护理人文教师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22</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护理类、临床医学与医学技术类（临床医学）、基础医学类</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45周岁及以下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本科或研究生期间专业为医学类专业</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23</w:t>
            </w:r>
          </w:p>
        </w:tc>
        <w:tc>
          <w:tcPr>
            <w:tcW w:w="1485" w:type="dxa"/>
            <w:vMerge w:val="restart"/>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公共卫生与管理学院</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信息技术系</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信息技术教师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23</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管理科学与工程类、计算机科学类、电子信息类、数学类</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24</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预防医学系</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预防医学教师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24</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公共卫生与预防医学类</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25</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心理系/心理健康教育教研室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心理学教师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25</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心理学类</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26</w:t>
            </w:r>
          </w:p>
        </w:tc>
        <w:tc>
          <w:tcPr>
            <w:tcW w:w="1485" w:type="dxa"/>
            <w:vMerge w:val="restart"/>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马克思主义学院</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毛泽东思想中国特色社会主义理论体系概论教研室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毛泽东思想和中国特色社会主义理论体系概论教师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26</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马克思主义基本原理、马克思主义发展史、马克思主义中国化研究、国外马克思主义研究、思想政治教育、马克思主义理论、中国近现代史基本问题研究</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27</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马克思主义基本原理教研室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马克思主义基本原理教师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27</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马克思主义基本原理、马克思主义发展史、马克思主义中国化研究、国外马克思主义研究、思想政治教育、马克思主义理论、中国近现代史基本问题研究</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28</w:t>
            </w:r>
          </w:p>
        </w:tc>
        <w:tc>
          <w:tcPr>
            <w:tcW w:w="148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国际教育学院</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教务科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对外汉语教师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28</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海外华语及华文教学</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汉语国际教育</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29</w:t>
            </w:r>
          </w:p>
        </w:tc>
        <w:tc>
          <w:tcPr>
            <w:tcW w:w="1485" w:type="dxa"/>
            <w:vMerge w:val="restart"/>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科学实验中心</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广西壮瑶药重点实验室（壮瑶药协同创新中心）</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科研人员1</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29</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专技岗（科研）</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临床医学与医学技术类、中医学类、药学类、基础医学类、化工与制药技术类</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学习能力强，能很快融入课题研究，可承受一定的科研压力。</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855"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30</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广西壮族自治区民族药资源与应用工程研究中心</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科研人员2</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30</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专技岗（科研）</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临床医学与医学技术类、中医学类、药学类、基础医学类、化工与制药技术类</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学习能力强，能很快融入课题研究，可承受一定的科研压力。</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31</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中国-东盟传统药物研究国际合作联合实验室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科研人员3</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31</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专技岗（科研）</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药理学、生物化学与分子生物学、中药学（中药药理）、病理学与病理生理学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35周岁及以下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能独立开展科研工作、团队和创新意识较强；应届博士生优先；有海外留学经历优先；发表过1区SCI论文的优先。</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32</w:t>
            </w:r>
          </w:p>
        </w:tc>
        <w:tc>
          <w:tcPr>
            <w:tcW w:w="1485" w:type="dxa"/>
            <w:vMerge w:val="restart"/>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海洋药物研究院</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海洋合成生物学研究室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研究室科研人员1</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32</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专技岗（科研）</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中药学、海洋化学、化学生物学及相关专业</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35周岁及以下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33</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海洋药用资源研究室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研究室科研人员2</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33</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专技岗（科研）</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微生物学、海洋生物学、渔业资源及相关专业</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35周岁及以下</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34</w:t>
            </w:r>
          </w:p>
        </w:tc>
        <w:tc>
          <w:tcPr>
            <w:tcW w:w="1485" w:type="dxa"/>
            <w:vMerge w:val="restart"/>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第一临床医学院（第一附属医院）</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心血管内科二区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科研专职</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34</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中医、中西医、临床医学心血管病防治</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有规培证；要求发表2篇IF值2分以上SCI文章；主持有省级以上科研课题优先。</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35</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肝病二区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肝病二区医师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35</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中医内科、肝病、传染病方向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36</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肾病科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肾病科医师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36</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中医内科、中西医结合临床、临床医学（以上专业均要求肾病学方向）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37</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内分泌科    </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内分泌科医师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37</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中医内科、内分泌专业</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38</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介入科 </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介入科医师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38</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血管介入</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39</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呼吸与危重症医学科  </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呼吸与危重症医学医师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39</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呼吸或危重症方向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40</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妇科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妇科医师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40</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妇产科学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41</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老年病科、干部病区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老年病科医师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中医或中西医结合专业均可，心血管、呼吸或神经病学方向均可</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42</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耳鼻咽喉头颈外科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耳鼻咽喉头颈外科医师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42</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耳鼻咽喉科学（中医或西医）</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43</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泌尿外科  </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泌尿外科医师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43</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泌尿外科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  有规培证；具备较强的科研能力。</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44</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骨科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骨科医师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44</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骨科（脊柱方向）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45</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儿科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儿科医师/科研专职</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45</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中医儿科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46</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急诊、感染性疾病科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急诊、感染性疾病科医师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46</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中、西医临床医学或急诊医学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47</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康复医学科  （东葛）</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康复医学科  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47</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康复医学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副高</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48</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推拿科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推拿科医师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48</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针灸推拿学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49</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中医治未病中心/中医健康管理中心</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中医治未病中心医师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49</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针灸推拿、中医养生学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50</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放射科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放射科医师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50</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影像医学与核医学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51</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心血管科、呼吸内科（仙葫）</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心血管科医师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心血管</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52</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妇产科（仙葫）</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妇产科医师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52</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中医妇科学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53</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颅脑外科（仙葫）</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颅脑外科医师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53</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神经外科、神经介入（神经内科、神经外科）、外科学、中医外科、中西医结合临床</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54</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科研部分子生物学实验室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行政人员</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54</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行政管理</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中医基础、医学统计学、分子生物学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通过英语六级。</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55</w:t>
            </w:r>
          </w:p>
        </w:tc>
        <w:tc>
          <w:tcPr>
            <w:tcW w:w="1485" w:type="dxa"/>
            <w:vMerge w:val="restart"/>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瑞康临床医学院（附属瑞康医院）</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眼科</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眼科医师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55</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眼科学、中医眼科学、中西医结合临床</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56</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耳鼻咽喉头颈外科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耳鼻咽喉头颈外科医师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56</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耳鼻咽喉科学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57</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产科</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产科医师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57</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临床医学、中西医结合、妇产科学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58</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妇科一区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妇科一区医师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58</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妇产科学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59</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妇科二区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妇科二区医师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59</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中医、中西医结合临床、临床医学（生殖内分泌、不孕不育、月经病等方向）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60</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肝胆腺体周围血管病外科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肝胆腺体周围血管病外科医师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60</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外科学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61</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肛肠科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肛肠科医师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62</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胃肠外科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胃肠外科医师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62</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外科学（普外、胃肠、肛肠方向）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63</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神经外科</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神经外科医师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63</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外科学（神经外科方向）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64</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胸心血管外科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胸心血管外科医师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64</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外科学（胸心外科方向）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65</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脊柱外科二区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脊柱外科二区医师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65</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外科学（脊柱外科）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66</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创伤骨科与手外科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创伤骨科与手外科医师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66</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外科学（创伤方向）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67</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关节与运动医学科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关节与运动医学科医师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67</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临床医学、中西医结合、中医骨伤科学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68</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泌尿外科一、二区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泌尿外科一、二区医师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68</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外科学（泌尿外科）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69</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泌尿三区（移植病区）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泌尿三区（移植病区）医师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69</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外科学（泌尿或器官移植方向）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70</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手术麻醉科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手术麻醉科医师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70</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临床医学、麻醉学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71</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肾内科、血液透析中心</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肾内科、血液透析中心医师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中医内科学、中西医结合、内科学（肾脏病学）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72</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风湿免疫科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风湿免疫科医师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72</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中西医结合临床（风湿病方向）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73</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消化内科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消化内科医师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73</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中医内科学、中西结合临床、临床医学（消化内科方向）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74</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肝病内科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肝病内科医师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74</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临床医学、中西医结合临床（肝病、传染病方向）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75</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脑病科二区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脑病科二区医师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75</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神经内科、中医内科学、中西医结合临床（神经病学方向）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76</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康复医学科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康复医学科医师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76</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中医内科学（脑病方向）、中西医结合临床（脑病方向）、康复医学、内科学（神经内科方向）、针灸推拿学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77</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心血管内科二区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心血管内科二区医师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77</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内科学（心血管疾病方向、介入方向）、中医内科学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78</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老年病科</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老年病科医师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78</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内科学（心血管、神经内科、呼吸内科、内分泌等方向）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79</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呼吸与危重症医学科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呼吸与危重症医学科医师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79</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内科学（呼吸内科）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80</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重症医学科一区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重症医学科一区医师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80</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临床医学（重症、急诊、呼吸、心血管方向)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81</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重症医学科二区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重症医学科二区医师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81</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呼吸内科、重症医学、急诊医学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82</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儿科</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儿科医师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82</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儿科学、临床医学（新生儿方向）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83</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针灸科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针灸科医师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83</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针灸推拿学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84</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检验科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检验科技师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84</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医学检验或分子生物学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85</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药学部</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药学部药师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85</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86</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药物研发中心</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科研人员</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86</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中药学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87</w:t>
            </w:r>
          </w:p>
        </w:tc>
        <w:tc>
          <w:tcPr>
            <w:tcW w:w="1485" w:type="dxa"/>
            <w:vMerge w:val="restart"/>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壮医临床医学院（广西国际壮医医院）</w:t>
            </w: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脾胃肝病科一区</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脾胃肝病科一区医师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87</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内科学（消化方向）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主治医师及以上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88</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肾病科（含血液净化室）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肾病科（含血液净化室）医师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88</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内科学/中医内科学/中西医结合临床（肾病方向）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89</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肺病科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肺病科医师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89</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内科学/中医内科学（肺病、呼吸、重症方向）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90</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风湿病科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风湿病科医师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90</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内科学/中医内科学（风湿免疫方向）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91</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肿瘤科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肿瘤科医师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91</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肿瘤学（放疗方向）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92</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内分泌代谢病科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内分泌代谢病科医师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92</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中医内科学（内分泌方向）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93</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胃结直肠外科（含胰腺、甲状腺、疝）</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胃结直肠外科（含胰腺、甲状腺、疝）医师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93</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外科学（胃结直肠、甲状腺方向）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94</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乳腺病科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乳腺病科</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94</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外科学（乳腺病方向）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95</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麻醉科（含手术室）</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麻醉科（含手术室）医师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95</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麻醉学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96</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皮肤科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皮肤科医师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96</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中医外科学（皮肤病方向）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97</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妇科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妇科医师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97</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中医妇科学/妇产科学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98</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儿科（含新生儿科）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儿科（含新生儿科）医师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98</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儿科学/中医儿科学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主治医师及以上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99</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耳鼻喉科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耳鼻喉科医师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99</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耳鼻咽喉科学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45周岁及以下</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100</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治未病中心</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治未病中心医师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100</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中医内科学、壮医学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101</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放射科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放射科技师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101</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影像医学与核医学（放射方向）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102</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病理科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病理科医师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102</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临床医学、病理学与病理生理学</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103</w:t>
            </w:r>
          </w:p>
        </w:tc>
        <w:tc>
          <w:tcPr>
            <w:tcW w:w="1485" w:type="dxa"/>
            <w:vMerge w:val="continue"/>
            <w:tcBorders>
              <w:top w:val="outset" w:color="auto" w:sz="6" w:space="0"/>
              <w:left w:val="outset" w:color="auto" w:sz="6" w:space="0"/>
              <w:bottom w:val="single" w:color="CCCCCC" w:sz="6" w:space="0"/>
              <w:right w:val="single" w:color="CCCCCC" w:sz="6" w:space="0"/>
            </w:tcBorders>
            <w:shd w:val="clear"/>
            <w:vAlign w:val="center"/>
          </w:tcPr>
          <w:p>
            <w:pPr>
              <w:jc w:val="center"/>
              <w:rPr>
                <w:rFonts w:hint="eastAsia" w:ascii="宋体"/>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超声科</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超声科技师</w:t>
            </w:r>
          </w:p>
        </w:tc>
        <w:tc>
          <w:tcPr>
            <w:tcW w:w="73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103</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影像医学与核医学（肌肉骨骼超声方向、妇产科超声方向）</w:t>
            </w:r>
          </w:p>
        </w:tc>
        <w:tc>
          <w:tcPr>
            <w:tcW w:w="166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rPr>
          <w:trHeight w:val="271" w:hRule="atLeast"/>
        </w:trPr>
        <w:tc>
          <w:tcPr>
            <w:tcW w:w="0" w:type="auto"/>
            <w:gridSpan w:val="12"/>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合计</w:t>
            </w:r>
          </w:p>
        </w:tc>
        <w:tc>
          <w:tcPr>
            <w:tcW w:w="0" w:type="auto"/>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113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(二)引进程序和方式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1.报名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(1)报名时间：即日起即可报名，报名截止时间为2022年12月30日。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(2)报名方式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可选择以下两种方式报名：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①网上投递(邮件名统一命名为“姓名 + 应聘岗位名称”)：应聘者均需将《广西中医药大学2022年公开招聘博士报名登记表》 (附件2) 及《广西中医药大学2022年公开招聘博士报名汇总表》(附件3)及个人相关简历材料电子版统一发送到邮箱：gzyrsc2018@163.com。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②现场报名：将个人简历交到学校人事处，进行现场报名。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2.资格审查及考核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(1)报名后，我校将对报名者的材料进行初审，符合条件人员由具体的用人单位通知参加考核。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(2)考核可采取技能操作、笔试、试讲、面试等不同形式，具体考核形式、考核时间、考核地点由用人单位电话通知应聘人员。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(3)本次公开招聘博士将根据岗位报名情况，在报名期间进行多批次考核并择优录用(直至录满为止，岗位录满后将不再安排考核)。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3.政审及体检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对拟录用人员进行的政审主要考察拟录用人员的政治思想、道德品质等情况，同时对资格条件进行复核。若政审不合格，则取消录用资格。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拟录用人员须参加体检，体检标准参照公务员录用体检标准执行。若体检不合格，则取消录用资格。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4.确定拟聘人员名单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学校党政领导在听取人事处汇报的基础上，对拟录用人员的综合考评结果及用人单位意见、考察情况进行充分研究后，确定拟聘人员名单。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5.公示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上述程序结束后将及时在广西中医药大学网站公告栏对拟聘人员名单进行公示，公示期为7个工作日。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6.签订合同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(1)公示结束无异议后，签订聘用合同。如受聘人员无法按期到岗或签合同时无法提供相应学历、学位证等材料，则取消其录用资格。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(2)引进的博士在入职报到后，需签订引进博士合同书，约定的服务期限为5年，按合同书约定享受相应的权力，履行相应的义务，承担违约所造成的后果。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(三)引进博士待遇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1.工资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具有副高及以上职称博士按其职称参照学校同级别岗位享受相应的工资福利待遇，无职称或具有中级及以下职称博士参照学校中级岗位享受相应的工资福利待遇。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2.安家费及科研启动经费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学校本部录用的博士，根据不同层次给予30-80万元安家费，安家费发放形式：分五年逐月发放。附属医院录用的博士，其安家费核定及发放按照附属医院安家费政策执行，具体面谈。 </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088"/>
        <w:gridCol w:w="8589"/>
        <w:gridCol w:w="7023"/>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0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人才层次</w:t>
            </w:r>
          </w:p>
        </w:tc>
        <w:tc>
          <w:tcPr>
            <w:tcW w:w="493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安家费（税前）</w:t>
            </w:r>
          </w:p>
        </w:tc>
        <w:tc>
          <w:tcPr>
            <w:tcW w:w="403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科研启动经费</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sz w:val="21"/>
                <w:szCs w:val="21"/>
                <w:bdr w:val="none" w:color="auto" w:sz="0" w:space="0"/>
              </w:rPr>
              <w:t>拔尖人才</w:t>
            </w:r>
          </w:p>
        </w:tc>
        <w:tc>
          <w:tcPr>
            <w:tcW w:w="493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60-80万元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（符合拔尖人才1个条件60万元，2个条件70万元，如果属于学校急需紧缺的中医学类、临床医学、中药学、中西医结合、口腔医学、护理学专业的博士则另外增加10万元）</w:t>
            </w:r>
          </w:p>
        </w:tc>
        <w:tc>
          <w:tcPr>
            <w:tcW w:w="403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3-30万元，申报时3-20 万元，中期考核后，根据课题研究开展情况及价值可申请追加经费，最高10万元。</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sz w:val="21"/>
                <w:szCs w:val="21"/>
                <w:bdr w:val="none" w:color="auto" w:sz="0" w:space="0"/>
              </w:rPr>
              <w:t>博士</w:t>
            </w:r>
          </w:p>
        </w:tc>
        <w:tc>
          <w:tcPr>
            <w:tcW w:w="493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30-40万元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（属于学校急需紧缺的中医学类、临床医学、中药学、中西医结合、口腔医学、护理学专业博士研究生40万元，其他博士研究生30万元）</w:t>
            </w:r>
          </w:p>
        </w:tc>
        <w:tc>
          <w:tcPr>
            <w:tcW w:w="403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3-20万元，申报时3-10 万元，中期考核后，根据课题研究开展情况及价值可申请追加经费，最高10万元。</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3. 其它待遇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(1)已报到的人才，主持有国家级科研在研项目的，按有关规定给予硕士研究生导师资格。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(2)学校可协调安排子女到所属学区范围内的幼儿园、中小学就读。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(3)在学校安排考核期间，广西南宁市区以外应聘人员，学校可承担国内往返城市交通费(交通票由学校订购)、1～2晚的住宿费。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(4)所引进的博士，符合自治区高层次人才专项编制条件的按有关文件办理入实名编制手续。其他人员按照实际到校报到上岗时间先后顺序逐步分批办理入实名编制手续。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(5)对于特别优秀的博士研究生，到校工作后，可以优先推荐参加高级职称评审。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(6)拔尖人才的配偶(须具有硕士及以上学位)可安置在学校工作。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7B6642"/>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7B6642"/>
        </w:rPr>
        <w:t>五、纪律监督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此次高层次人才引进工作严格按照公开、公正、公平、竞争、择优的原则，接受监察部门和社会各界监督。监督电话：0771-3111494。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7B6642"/>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7B6642"/>
        </w:rPr>
        <w:t>六、联系方式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广西中医药大学校园网网址：http://www.gxtcmu.edu.cn。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人事处联系地址：广西南宁市青秀区五合大道13号 广西中医药大学仙葫校区合德楼309室，邮编：530200。电话：0771-3134653。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24"/>
          <w:szCs w:val="24"/>
          <w:u w:val="none"/>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shd w:val="clear" w:fill="FFFFFF"/>
        </w:rPr>
        <w:t>抄送</w:t>
      </w:r>
      <w:r>
        <w:rPr>
          <w:rFonts w:ascii="微软雅黑" w:hAnsi="微软雅黑" w:eastAsia="微软雅黑" w:cs="微软雅黑"/>
          <w:i w:val="0"/>
          <w:iCs w:val="0"/>
          <w:caps w:val="0"/>
          <w:color w:val="000000"/>
          <w:spacing w:val="0"/>
          <w:sz w:val="24"/>
          <w:szCs w:val="24"/>
          <w:shd w:val="clear" w:fill="FFFFFF"/>
        </w:rPr>
        <w:t>gxszw</w:t>
      </w:r>
      <w:r>
        <w:rPr>
          <w:rFonts w:hint="eastAsia" w:ascii="微软雅黑" w:hAnsi="微软雅黑" w:eastAsia="微软雅黑" w:cs="微软雅黑"/>
          <w:i w:val="0"/>
          <w:iCs w:val="0"/>
          <w:caps w:val="0"/>
          <w:color w:val="000000"/>
          <w:spacing w:val="0"/>
          <w:sz w:val="24"/>
          <w:szCs w:val="24"/>
          <w:shd w:val="clear" w:fill="FFFFFF"/>
          <w:lang w:val="en-US" w:eastAsia="zh-CN"/>
        </w:rPr>
        <w:t>hr</w:t>
      </w:r>
      <w:r>
        <w:rPr>
          <w:rFonts w:ascii="微软雅黑" w:hAnsi="微软雅黑" w:eastAsia="微软雅黑" w:cs="微软雅黑"/>
          <w:i w:val="0"/>
          <w:iCs w:val="0"/>
          <w:caps w:val="0"/>
          <w:color w:val="000000"/>
          <w:spacing w:val="0"/>
          <w:sz w:val="24"/>
          <w:szCs w:val="24"/>
          <w:shd w:val="clear" w:fill="FFFFFF"/>
        </w:rPr>
        <w:t>@163.com</w:t>
      </w:r>
      <w:r>
        <w:rPr>
          <w:rFonts w:hint="eastAsia" w:ascii="微软雅黑" w:hAnsi="微软雅黑" w:eastAsia="微软雅黑" w:cs="微软雅黑"/>
          <w:i w:val="0"/>
          <w:iCs w:val="0"/>
          <w:caps w:val="0"/>
          <w:color w:val="4B4B4B"/>
          <w:spacing w:val="0"/>
          <w:sz w:val="24"/>
          <w:szCs w:val="24"/>
          <w:u w:val="none"/>
          <w:shd w:val="clear" w:fill="FFFFFF"/>
        </w:rPr>
        <w:t xml:space="preserve"> 电子邮件命名格式：高校师资网+毕业学校+学历+应聘岗位+姓名）</w:t>
      </w:r>
      <w:r>
        <w:rPr>
          <w:rFonts w:hint="eastAsia" w:ascii="Verdana" w:hAnsi="Verdana" w:eastAsia="宋体" w:cs="Verdana"/>
          <w:i w:val="0"/>
          <w:iCs w:val="0"/>
          <w:caps w:val="0"/>
          <w:color w:val="333333"/>
          <w:spacing w:val="0"/>
          <w:sz w:val="24"/>
          <w:szCs w:val="24"/>
        </w:rPr>
        <w:t>QQ博士交流群：</w:t>
      </w:r>
      <w:r>
        <w:rPr>
          <w:rFonts w:hint="eastAsia" w:ascii="宋体" w:hAnsi="宋体" w:eastAsia="宋体" w:cs="宋体"/>
          <w:b/>
          <w:bCs/>
          <w:color w:val="FF0000"/>
          <w:sz w:val="30"/>
          <w:szCs w:val="30"/>
        </w:rPr>
        <w:t>454977623</w:t>
      </w:r>
      <w:r>
        <w:rPr>
          <w:rFonts w:hint="default" w:ascii="Verdana" w:hAnsi="Verdana" w:eastAsia="宋体" w:cs="Verdana"/>
          <w:i w:val="0"/>
          <w:iCs w:val="0"/>
          <w:caps w:val="0"/>
          <w:color w:val="333333"/>
          <w:spacing w:val="0"/>
          <w:sz w:val="24"/>
          <w:szCs w:val="24"/>
        </w:rPr>
        <w:t>，</w:t>
      </w:r>
      <w:r>
        <w:rPr>
          <w:rFonts w:hint="eastAsia" w:ascii="Verdana" w:hAnsi="Verdana" w:eastAsia="宋体" w:cs="Verdana"/>
          <w:i w:val="0"/>
          <w:iCs w:val="0"/>
          <w:caps w:val="0"/>
          <w:color w:val="333333"/>
          <w:spacing w:val="0"/>
          <w:sz w:val="24"/>
          <w:szCs w:val="24"/>
          <w:lang w:val="en-US" w:eastAsia="zh-CN"/>
        </w:rPr>
        <w:t>硕士</w:t>
      </w:r>
      <w:r>
        <w:rPr>
          <w:rFonts w:hint="default" w:ascii="Verdana" w:hAnsi="Verdana" w:eastAsia="宋体" w:cs="Verdana"/>
          <w:i w:val="0"/>
          <w:iCs w:val="0"/>
          <w:caps w:val="0"/>
          <w:color w:val="333333"/>
          <w:spacing w:val="0"/>
          <w:sz w:val="24"/>
          <w:szCs w:val="24"/>
        </w:rPr>
        <w:t>交流群：</w:t>
      </w:r>
      <w:r>
        <w:rPr>
          <w:rFonts w:hint="eastAsia" w:ascii="宋体" w:hAnsi="宋体" w:eastAsia="宋体" w:cs="宋体"/>
          <w:b/>
          <w:bCs/>
          <w:color w:val="FF0000"/>
          <w:sz w:val="30"/>
          <w:szCs w:val="30"/>
        </w:rPr>
        <w:t>342957900</w:t>
      </w:r>
      <w:r>
        <w:rPr>
          <w:rFonts w:ascii="宋体" w:hAnsi="宋体" w:eastAsia="宋体" w:cs="宋体"/>
          <w:color w:val="FF0000"/>
          <w:sz w:val="24"/>
          <w:szCs w:val="24"/>
        </w:rPr>
        <w:t>更多校园招聘信息</w:t>
      </w:r>
      <w:r>
        <w:rPr>
          <w:rFonts w:hint="eastAsia" w:ascii="宋体" w:hAnsi="宋体" w:eastAsia="宋体" w:cs="宋体"/>
          <w:color w:val="FF0000"/>
          <w:sz w:val="24"/>
          <w:szCs w:val="24"/>
          <w:lang w:val="en-US" w:eastAsia="zh-CN"/>
        </w:rPr>
        <w:t>请同学添</w:t>
      </w:r>
      <w:r>
        <w:rPr>
          <w:rFonts w:ascii="宋体" w:hAnsi="宋体" w:eastAsia="宋体" w:cs="宋体"/>
          <w:color w:val="FF0000"/>
          <w:sz w:val="24"/>
          <w:szCs w:val="24"/>
        </w:rPr>
        <w:t>加客服</w:t>
      </w:r>
      <w:r>
        <w:rPr>
          <w:rFonts w:hint="eastAsia" w:ascii="宋体" w:hAnsi="宋体" w:eastAsia="宋体" w:cs="宋体"/>
          <w:color w:val="FF0000"/>
          <w:sz w:val="24"/>
          <w:szCs w:val="24"/>
          <w:lang w:val="en-US" w:eastAsia="zh-CN"/>
        </w:rPr>
        <w:t>李</w:t>
      </w:r>
      <w:r>
        <w:rPr>
          <w:rFonts w:hint="eastAsia" w:ascii="宋体" w:hAnsi="宋体" w:eastAsia="宋体" w:cs="宋体"/>
          <w:color w:val="FF0000"/>
          <w:sz w:val="24"/>
          <w:szCs w:val="24"/>
        </w:rPr>
        <w:t>老师微信号码：</w:t>
      </w:r>
      <w:r>
        <w:rPr>
          <w:rFonts w:hint="eastAsia" w:ascii="宋体" w:hAnsi="宋体" w:eastAsia="宋体" w:cs="宋体"/>
          <w:color w:val="FF0000"/>
          <w:sz w:val="24"/>
          <w:szCs w:val="24"/>
          <w:lang w:val="en-US" w:eastAsia="zh-CN"/>
        </w:rPr>
        <w:t>13718504267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6"/>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kNGVkNzUwYzIyZjJkNzRkYTg2ZTAzMmRiZTk0NWIifQ=="/>
  </w:docVars>
  <w:rsids>
    <w:rsidRoot w:val="00000000"/>
    <w:rsid w:val="026F1DDB"/>
    <w:rsid w:val="05362633"/>
    <w:rsid w:val="06121624"/>
    <w:rsid w:val="066C24D4"/>
    <w:rsid w:val="0A0B734B"/>
    <w:rsid w:val="0C462869"/>
    <w:rsid w:val="0C664807"/>
    <w:rsid w:val="0CC06E77"/>
    <w:rsid w:val="0D0965EF"/>
    <w:rsid w:val="0E012E11"/>
    <w:rsid w:val="0EEA674E"/>
    <w:rsid w:val="13357FD2"/>
    <w:rsid w:val="136C6A19"/>
    <w:rsid w:val="142E65AA"/>
    <w:rsid w:val="14674D1C"/>
    <w:rsid w:val="14B4453A"/>
    <w:rsid w:val="16575B52"/>
    <w:rsid w:val="17651D9A"/>
    <w:rsid w:val="17C85A7B"/>
    <w:rsid w:val="17E102E4"/>
    <w:rsid w:val="19022303"/>
    <w:rsid w:val="197856F4"/>
    <w:rsid w:val="1A373139"/>
    <w:rsid w:val="1C59048D"/>
    <w:rsid w:val="1D7A0CFC"/>
    <w:rsid w:val="240E54C6"/>
    <w:rsid w:val="24901CF7"/>
    <w:rsid w:val="2708689D"/>
    <w:rsid w:val="284852C7"/>
    <w:rsid w:val="28A3523A"/>
    <w:rsid w:val="28B450FC"/>
    <w:rsid w:val="28E50FE4"/>
    <w:rsid w:val="28F940AD"/>
    <w:rsid w:val="29784473"/>
    <w:rsid w:val="29A5786C"/>
    <w:rsid w:val="2AD21EA8"/>
    <w:rsid w:val="2D555DD2"/>
    <w:rsid w:val="2D883306"/>
    <w:rsid w:val="312D4CDC"/>
    <w:rsid w:val="317E1E34"/>
    <w:rsid w:val="32A77C15"/>
    <w:rsid w:val="36E84922"/>
    <w:rsid w:val="387E5266"/>
    <w:rsid w:val="38974369"/>
    <w:rsid w:val="39673E7A"/>
    <w:rsid w:val="3AB918A1"/>
    <w:rsid w:val="3B592048"/>
    <w:rsid w:val="3BB37D4C"/>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E47987"/>
    <w:rsid w:val="4AF01416"/>
    <w:rsid w:val="4C79125D"/>
    <w:rsid w:val="4CA321D6"/>
    <w:rsid w:val="4F551D79"/>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高校师资网 小孟</cp:lastModifiedBy>
  <dcterms:modified xsi:type="dcterms:W3CDTF">2022-10-26T01:25:21Z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468A9DA0C1994F43A76EB771EE12B21B</vt:lpwstr>
  </property>
</Properties>
</file>