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default" w:ascii="微软雅黑" w:hAnsi="微软雅黑" w:eastAsia="微软雅黑" w:cs="微软雅黑"/>
          <w:i w:val="0"/>
          <w:iCs w:val="0"/>
          <w:caps w:val="0"/>
          <w:color w:val="000000"/>
          <w:spacing w:val="0"/>
          <w:sz w:val="38"/>
          <w:szCs w:val="38"/>
          <w:lang w:val="en-US" w:eastAsia="zh-CN"/>
        </w:rPr>
      </w:pPr>
      <w:r>
        <w:rPr>
          <w:rFonts w:hint="eastAsia" w:ascii="微软雅黑" w:hAnsi="微软雅黑" w:eastAsia="微软雅黑" w:cs="微软雅黑"/>
          <w:i w:val="0"/>
          <w:iCs w:val="0"/>
          <w:caps w:val="0"/>
          <w:color w:val="000000"/>
          <w:spacing w:val="0"/>
          <w:sz w:val="38"/>
          <w:szCs w:val="38"/>
          <w:bdr w:val="none" w:color="auto" w:sz="0" w:space="0"/>
        </w:rPr>
        <w:t>安徽科技学院2022年</w:t>
      </w:r>
      <w:r>
        <w:rPr>
          <w:rFonts w:hint="eastAsia" w:ascii="微软雅黑" w:hAnsi="微软雅黑" w:eastAsia="微软雅黑" w:cs="微软雅黑"/>
          <w:i w:val="0"/>
          <w:iCs w:val="0"/>
          <w:caps w:val="0"/>
          <w:color w:val="000000"/>
          <w:spacing w:val="0"/>
          <w:sz w:val="38"/>
          <w:szCs w:val="38"/>
          <w:bdr w:val="none" w:color="auto" w:sz="0" w:space="0"/>
          <w:lang w:val="en-US" w:eastAsia="zh-CN"/>
        </w:rPr>
        <w:t>最新招聘公告</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安徽科技学院创办于1950年，1965年开始举办本科教育，2012年开始独立培养研究生，2021年成为硕士学位授予单位，现为国家“卓越工程师教育培养计划”项目建设高校、全国重点建设职教师资培养培训基地和“地方应用型高水平大学”项目建设高校。学校现有凤阳校区和蚌埠龙湖校区，拥有14个二级学院，50个本科招生专业，涵盖农、工、理、管、经、文、法、医等学科门类，形成了以优势农科和新兴工科为重点，多学科相互支撑、协调发展的应用型学科专业体系。现有国家级一流本科专业建设点1个、综合改革试点专业1个、特色专业2个、卓越工程师教育培养计划专业4个、复合应用型卓越农林人才教育培养计划改革试点专业3个，承担国家新工科、新农科研究与实践项目4项。拥有省级重点学科6个、一流本科专业建设点14个、一流(品牌)专业3个、综合改革试点专业16个、特色专业11个，2021年，财务管理专业纳入本科一批次招生，种子科学与工程专业作为国家紧缺专业纳入提前批次招生。建校70年来，学校已累计为国家和地方经济社会发展输送了10万余名优秀毕业生。根据学科专业建设需要，现诚聘天下英才。</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一、人才引进类型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学科带头人、中都学者、具有博士学位正高级职称人员、具有博士学位副高级职称人员、博士研究生。</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二、人才引进条件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(一)基本条件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引进对象除符合招聘岗位条件外，还必须符合以下基本条件：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1、遵守宪法和法律，热爱祖国，热爱教育事业。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2、遵守职业道德和学术规范，作风正派，品行端正。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3、善于团结协作，责任心强，深受同行专家认可和赞誉。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4、适应岗位要求的身体条件。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5、无违法违纪及不良记录。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(二)年龄要求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学科带头人、中都学者特聘教授50周岁以下，青年中都学者40周岁以下;具有博士学位正高级职称人员50周岁以下;具有博士学位副高级职称人员45周岁以下;博士研究生40周岁以下。特殊需求人才年龄可适当放宽。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(三)学历要求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引进的各类人才原则上均应具有博士研究生学历学位。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(四)科研要求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1、学科带头人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近5年科研业绩达到安徽省规定的三类以上人才标准。对我校急需引进的紧缺人才，科研业绩可适当放宽。对于不能全职来校工作的，可采用柔性方式引进。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2、中都学者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按《安徽科技学院中都学者选聘管理暂行办法》第八条执行。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3、具有博士学位正高级职称人员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近5年取得显著的研究成果，主持国家级科研课题1项以上或省部级科研课题2项以上，且作为第一作者或通讯作者在自然科学学科SCI收录刊物上发表论文累计影响因子达到15.0以上(其中机械、电气、计算机等学科可以根据具体情况，以EI收录期刊论文、本学科国内顶级期刊、一流学报或其他相当业绩等代替部分SCI论文);人文社会学科在CSSCI来源刊物上发表论文5篇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4、具有博士学位副高级职称人员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近5年取得显著的研究成果，主持省部级科研课题1项以上，且作为第一作者或通讯作者在自然科学学科SCI收录刊物上发表论文累计影响因子达到12.0以上(其中机械、电气、计算机等学科可以根据具体情况，以EI收录期刊论文、本学科国内顶级期刊、一流学报或其他相当业绩等代替部分SCI论文);人文社会学科在CSSCI来源刊物上发表论文4篇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5、博士研究生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博士研究生根据业绩分成A类和B类。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A类业绩：具有突出的科研能力，并取得显著的研究成果。作为第一作者，自然科学学科在SCI收录刊物上发表论文3篇以上或单篇影响因子6.0以上;人文社会学科在CSSCI来源刊物上发表论文3篇以上。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B类业绩：具有较高的科研能力，并取得较显著的研究成果。作为第一作者，自然科学学科在SCI收录刊物上发表论文2篇以上或单篇影响因子4.0以上或在EI(JA)收录刊物上发表论文3篇以上;人文社会学科在CSSCI来源刊物上发表论文2篇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特殊需求人才业绩可适当放宽。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(五)教学要求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具备高校教师应有的基本素质和教育教学能力，经学校考核达到良好以上等次。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i w:val="0"/>
          <w:iCs w:val="0"/>
          <w:caps w:val="0"/>
          <w:color w:val="000000"/>
          <w:spacing w:val="0"/>
          <w:sz w:val="24"/>
          <w:szCs w:val="24"/>
          <w:bdr w:val="none" w:color="auto" w:sz="0" w:space="0"/>
        </w:rPr>
        <w:t>(六)紧缺专业界定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紧缺专业：马克思主义理论、应用经济学、外国语言文学、法学、数学、机械工程、光学工程、电气工程、电子科学与技术、信息与通信工程、控制科学与工程、计算机科学与技术、建筑学类、食品科学与工程、药学、中药学、管理科学与工程、工商管理、地理信息科学等一级学科范围内的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2、一般专业：除上述紧缺专业以外的其他专业。</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三、人才引进待遇</w:t>
      </w:r>
    </w:p>
    <w:tbl>
      <w:tblPr>
        <w:tblW w:w="14150" w:type="dxa"/>
        <w:tblInd w:w="0" w:type="dxa"/>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67"/>
        <w:gridCol w:w="1966"/>
        <w:gridCol w:w="727"/>
        <w:gridCol w:w="1761"/>
        <w:gridCol w:w="1992"/>
        <w:gridCol w:w="4935"/>
        <w:gridCol w:w="802"/>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人才类别</w:t>
            </w:r>
          </w:p>
        </w:tc>
        <w:tc>
          <w:tcPr>
            <w:tcW w:w="0" w:type="auto"/>
            <w:gridSpan w:val="2"/>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住房补贴</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安家费</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科研启动费</w:t>
            </w:r>
          </w:p>
        </w:tc>
        <w:tc>
          <w:tcPr>
            <w:tcW w:w="228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特殊津贴</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备注</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学科带头人</w:t>
            </w:r>
          </w:p>
        </w:tc>
        <w:tc>
          <w:tcPr>
            <w:tcW w:w="0" w:type="auto"/>
            <w:gridSpan w:val="2"/>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80~100万元</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70-80万元</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自然学科：100-150万元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人文学科：50-80万元</w:t>
            </w:r>
          </w:p>
        </w:tc>
        <w:tc>
          <w:tcPr>
            <w:tcW w:w="228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2000元/月</w:t>
            </w:r>
          </w:p>
        </w:tc>
        <w:tc>
          <w:tcPr>
            <w:tcW w:w="0" w:type="auto"/>
            <w:vMerge w:val="restart"/>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1.引进的人才须与学校签订服务期合同，实行合同管理，服务期限为8年。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2.人才进校时发放住房补贴和安家费总额的80%，聘期期满考核合格后发放余下的20%。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3.科研奖励：国家基金面上项目奖励16万，国家级成果奖奖励50-100万，省部级成果奖奖励4-20万,论文根据相关管理办法评奖后最高奖励30万。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4.新进博士配偶视其学历情况，由学校采取人事代理或校内聘用等方式安排工作。</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中都学者</w:t>
            </w:r>
          </w:p>
        </w:tc>
        <w:tc>
          <w:tcPr>
            <w:tcW w:w="0" w:type="auto"/>
            <w:gridSpan w:val="5"/>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按《安徽科技学院中都学者选聘管理暂行办法》中第十一条执行。</w:t>
            </w: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具有博士学位正高级职称人员</w:t>
            </w:r>
          </w:p>
        </w:tc>
        <w:tc>
          <w:tcPr>
            <w:tcW w:w="0" w:type="auto"/>
            <w:gridSpan w:val="2"/>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60~70万元</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50~60万元</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自然学科：50~70万元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人文学科：30~40万元</w:t>
            </w:r>
          </w:p>
        </w:tc>
        <w:tc>
          <w:tcPr>
            <w:tcW w:w="228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2000元/月</w:t>
            </w: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具有博士学位副高级职称人员</w:t>
            </w:r>
          </w:p>
        </w:tc>
        <w:tc>
          <w:tcPr>
            <w:tcW w:w="0" w:type="auto"/>
            <w:gridSpan w:val="2"/>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50~60万元</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40~50万元</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自然学科：30~50万元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人文学科：20~30万元</w:t>
            </w:r>
          </w:p>
        </w:tc>
        <w:tc>
          <w:tcPr>
            <w:tcW w:w="228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1500元/月</w:t>
            </w: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vMerge w:val="restart"/>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博士研究生</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A类待遇</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40~60万元</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30~40万元</w:t>
            </w:r>
          </w:p>
        </w:tc>
        <w:tc>
          <w:tcPr>
            <w:tcW w:w="228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自然学科：30~40万元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人文学科：15~25万元</w:t>
            </w:r>
          </w:p>
        </w:tc>
        <w:tc>
          <w:tcPr>
            <w:tcW w:w="0" w:type="auto"/>
            <w:vMerge w:val="restart"/>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1000元/月；享受校内副教授经济待遇（享受期三年）。</w:t>
            </w: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c>
          <w:tcPr>
            <w:tcW w:w="240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B类待遇</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20~40万元</w:t>
            </w:r>
          </w:p>
        </w:tc>
        <w:tc>
          <w:tcPr>
            <w:tcW w:w="0" w:type="auto"/>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20~30万元</w:t>
            </w:r>
          </w:p>
        </w:tc>
        <w:tc>
          <w:tcPr>
            <w:tcW w:w="2040" w:type="dxa"/>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自然学科：20~30万元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人文学科：10~20万元</w:t>
            </w: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c>
          <w:tcPr>
            <w:tcW w:w="2400" w:type="dxa"/>
            <w:gridSpan w:val="7"/>
            <w:tcBorders>
              <w:top w:val="outset" w:color="auto" w:sz="6" w:space="0"/>
              <w:left w:val="outset" w:color="auto" w:sz="6" w:space="0"/>
              <w:bottom w:val="single" w:color="CCCCCC" w:sz="4" w:space="0"/>
              <w:right w:val="single" w:color="CCCCCC" w:sz="4" w:space="0"/>
            </w:tcBorders>
            <w:shd w:val="clear"/>
            <w:tcMar>
              <w:top w:w="0" w:type="dxa"/>
              <w:left w:w="60" w:type="dxa"/>
              <w:bottom w:w="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学校根据实际需求，以团队形式来校工作的博士（3人以上且均为博士），可增加50%的安家费，科研启动费可根据需要另行商谈。紧缺专业安家费可在相应区间值上适当增加，最高增加20万元。在海外留学且取得博士学位人员，根据实际需求和专业紧缺程度以及海外背景，在享受原有待遇基础上，最高可增加50%的安家费和科研启动费。国家级高端人才、柔性引进高层次人才及学校事业发展特需人才可结合工作时间和任务，实行“一人一策”，待遇面议。</w:t>
            </w:r>
          </w:p>
        </w:tc>
      </w:tr>
    </w:tbl>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四、其他事项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(一)请对照我校2022年人才进人计划，向所在用人单位(简历投递邮箱见2022年人才引进计划)以附件形式投递应聘简历。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(二)凡测试考察合格的拟录用人员，来校报到后，均须与学校签订服务期合同。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(三)各类人员具体引进条件、待遇、政策及引进办法等详见安徽科技学院2022年人才引进办法。</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五、联系方式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电话：0550-6732257/6732728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联系人：才老师 谢老师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E-mail：</w:t>
      </w:r>
      <w:r>
        <w:rPr>
          <w:rStyle w:val="11"/>
          <w:rFonts w:hint="eastAsia" w:ascii="微软雅黑" w:hAnsi="微软雅黑" w:eastAsia="微软雅黑" w:cs="微软雅黑"/>
          <w:i w:val="0"/>
          <w:iCs w:val="0"/>
          <w:caps w:val="0"/>
          <w:color w:val="FF0000"/>
          <w:spacing w:val="0"/>
          <w:sz w:val="24"/>
          <w:szCs w:val="24"/>
          <w:bdr w:val="none" w:color="auto" w:sz="0" w:space="0"/>
        </w:rPr>
        <w:t>rsc@ahstu.edu.cn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学校网址：</w:t>
      </w:r>
      <w:r>
        <w:rPr>
          <w:rFonts w:hint="eastAsia" w:ascii="微软雅黑" w:hAnsi="微软雅黑" w:eastAsia="微软雅黑" w:cs="微软雅黑"/>
          <w:i w:val="0"/>
          <w:iCs w:val="0"/>
          <w:caps w:val="0"/>
          <w:color w:val="4B4B4B"/>
          <w:spacing w:val="0"/>
          <w:sz w:val="24"/>
          <w:szCs w:val="24"/>
          <w:u w:val="none"/>
          <w:bdr w:val="none" w:color="auto" w:sz="0" w:space="0"/>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rPr>
        <w:instrText xml:space="preserve"> HYPERLINK "http://www.ahstu.edu.cn/" </w:instrText>
      </w:r>
      <w:r>
        <w:rPr>
          <w:rFonts w:hint="eastAsia" w:ascii="微软雅黑" w:hAnsi="微软雅黑" w:eastAsia="微软雅黑" w:cs="微软雅黑"/>
          <w:i w:val="0"/>
          <w:iCs w:val="0"/>
          <w:caps w:val="0"/>
          <w:color w:val="4B4B4B"/>
          <w:spacing w:val="0"/>
          <w:sz w:val="24"/>
          <w:szCs w:val="24"/>
          <w:u w:val="none"/>
          <w:bdr w:val="none" w:color="auto" w:sz="0" w:space="0"/>
        </w:rPr>
        <w:fldChar w:fldCharType="separate"/>
      </w:r>
      <w:r>
        <w:rPr>
          <w:rStyle w:val="14"/>
          <w:rFonts w:hint="eastAsia" w:ascii="微软雅黑" w:hAnsi="微软雅黑" w:eastAsia="微软雅黑" w:cs="微软雅黑"/>
          <w:i w:val="0"/>
          <w:iCs w:val="0"/>
          <w:caps w:val="0"/>
          <w:color w:val="FF0000"/>
          <w:spacing w:val="0"/>
          <w:sz w:val="24"/>
          <w:szCs w:val="24"/>
          <w:u w:val="none"/>
          <w:bdr w:val="none" w:color="auto" w:sz="0" w:space="0"/>
        </w:rPr>
        <w:t>http://www.ahstu.edu.cn</w:t>
      </w:r>
      <w:r>
        <w:rPr>
          <w:rFonts w:hint="eastAsia" w:ascii="微软雅黑" w:hAnsi="微软雅黑" w:eastAsia="微软雅黑" w:cs="微软雅黑"/>
          <w:i w:val="0"/>
          <w:iCs w:val="0"/>
          <w:caps w:val="0"/>
          <w:color w:val="4B4B4B"/>
          <w:spacing w:val="0"/>
          <w:sz w:val="24"/>
          <w:szCs w:val="24"/>
          <w:u w:val="none"/>
          <w:bdr w:val="none" w:color="auto" w:sz="0" w:space="0"/>
        </w:rPr>
        <w:fldChar w:fldCharType="end"/>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center"/>
        <w:rPr>
          <w:sz w:val="24"/>
          <w:szCs w:val="24"/>
        </w:rPr>
      </w:pPr>
      <w:r>
        <w:rPr>
          <w:i w:val="0"/>
          <w:iCs w:val="0"/>
          <w:caps w:val="0"/>
          <w:color w:val="000000"/>
          <w:spacing w:val="0"/>
          <w:sz w:val="24"/>
          <w:szCs w:val="24"/>
          <w:bdr w:val="single" w:color="005CF9" w:sz="36" w:space="0"/>
          <w:shd w:val="clear" w:fill="EEEEEE"/>
        </w:rPr>
        <w:t>安徽科技学院2022年人才引进计划</w:t>
      </w:r>
    </w:p>
    <w:tbl>
      <w:tblPr>
        <w:tblW w:w="14150" w:type="dxa"/>
        <w:tblInd w:w="0" w:type="dxa"/>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61"/>
        <w:gridCol w:w="5725"/>
        <w:gridCol w:w="2422"/>
        <w:gridCol w:w="895"/>
        <w:gridCol w:w="895"/>
        <w:gridCol w:w="1532"/>
        <w:gridCol w:w="2320"/>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所</w:t>
            </w:r>
            <w:r>
              <w:rPr>
                <w:rStyle w:val="11"/>
                <w:sz w:val="24"/>
                <w:szCs w:val="24"/>
                <w:bdr w:val="none" w:color="auto" w:sz="0" w:space="0"/>
              </w:rPr>
              <w:t>在单位</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需求专业</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博士</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使用意图</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联系人</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联系电话</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简历投递邮箱</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动物科学学院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动物营养与饲料、动物遗传育种与繁殖</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刘院长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贺院长</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0550-6732066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0550-6732088</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dwkxxy@ahstu.edu.cn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兽医学</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建筑学院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风景园林</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张院长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刘老师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0552-3197201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0552-3197203</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jzxy@ahstu.edu.cn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城乡规划</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建筑学</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土木工程</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财经学院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管理学（财务管理、会计学、审计学等）、经济学（金融学、国际经济与贸易、统计学等）</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郝院长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肖老师</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0552-3197048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0552-3197050</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cjxy@ahstu.edu.cn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化学与材料工程学院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材料科学与工程（光伏与锂离子电池方向）</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宋院长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李院长</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0552-3197359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0552-3197361</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hcxy@ahstu.edu.cn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无机非金属材料工程</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外国语学院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英语语言文学</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陈院长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郑老师</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0550-6719002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0550-6732025</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wyxy@ahstu.edu.cn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资源与环境学院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环境科学与工程、农业资源与环境</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李院长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李老师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0550-6732656</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zyhj@ahstu.edu.cn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地图学与地理信息系统</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电气与电子工程学院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光电信息科学与工程及相近专业</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夏院长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刘老师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0552-3197588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0552-3197591</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dqdz@ahstu.edu.cn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电气工程、建筑电气及相近专业</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管理学院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工商管理类、管理科学与工程类、计算机类</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陈院长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秦老师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0552-3197062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0552-3197064</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glxy@ahstu.edu.cn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工商管理类、管理科学与工程类、物流管理类</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机械工程学院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机械工程类相关专业、工业设计专业、智能制造工程专业</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陈院长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乔院长</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0550-6734666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0550-6734840</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jxgc@ahstu.edu.cn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机械电子工程、机器人工程类相关专业</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车辆工程、农业工程、农业装备相关专业</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农学院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园艺（食用菌或微生物方向）</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崔院长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舒院长</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0550-6733037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0550-6732166</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nxy@ahstu.edu.cn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智慧农业或农业工程、种子或遗传育种</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植物保护</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中国语言文学/法学</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李院长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高老师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0550-6719126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0550-6719100</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rwxy@ahstu.edu.cn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国际法、心理学</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信息与网络工程学院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数学类、计算机类、信息与通信工程</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6</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余院长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何院长</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0552-3197079</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xxwlgc@ahstu.edu.cn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生命与健康科学学院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生物制药、制药工程、发酵工程</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孙院长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陈院长</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0550-6732226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0550-6732024</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sky@ahstu.edu.cn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中药学（中药药理学、中药资源、药用植物学、中药炮制学、中药制剂等方向）</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中医学（中医临床基础、伤寒等方向）</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中药学、药剂学、生药学、药物代谢等相关专业</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分析化学、纳米材料、生物传感</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食品工程学院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食品工程、粮食工程</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杜院长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汪老师</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0550-6733103</w:t>
            </w:r>
          </w:p>
        </w:tc>
        <w:tc>
          <w:tcPr>
            <w:tcW w:w="0" w:type="auto"/>
            <w:vMerge w:val="restart"/>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spxy@ahstu.edu.cn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烹饪与营养教育</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食品安全</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rPr>
                <w:rFonts w:hint="eastAsia" w:ascii="宋体"/>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马克思主义学院</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马克思主义理论</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张院长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王老师</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0550-6732612</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my@ahstu.edu.cn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体育教学部</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体育学</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教学科研</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孙主任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樊老师</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0550-6733855</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tyb@ahstu.edu.cn</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gridSpan w:val="2"/>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合计</w:t>
            </w:r>
          </w:p>
        </w:tc>
        <w:tc>
          <w:tcPr>
            <w:tcW w:w="36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60</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keepNext w:val="0"/>
              <w:keepLines w:val="0"/>
              <w:widowControl/>
              <w:suppressLineNumbers w:val="0"/>
              <w:spacing w:line="336" w:lineRule="atLeast"/>
              <w:ind w:left="0" w:firstLine="0"/>
              <w:jc w:val="center"/>
              <w:rPr>
                <w:sz w:val="24"/>
                <w:szCs w:val="24"/>
              </w:rPr>
            </w:pPr>
            <w:r>
              <w:rPr>
                <w:rFonts w:ascii="宋体" w:hAnsi="宋体" w:eastAsia="宋体" w:cs="宋体"/>
                <w:kern w:val="0"/>
                <w:sz w:val="24"/>
                <w:szCs w:val="24"/>
                <w:bdr w:val="none" w:color="auto" w:sz="0" w:space="0"/>
                <w:lang w:val="en-US" w:eastAsia="zh-CN" w:bidi="ar"/>
              </w:rPr>
              <w:t> </w:t>
            </w:r>
          </w:p>
        </w:tc>
        <w:tc>
          <w:tcPr>
            <w:tcW w:w="1200" w:type="dxa"/>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keepNext w:val="0"/>
              <w:keepLines w:val="0"/>
              <w:widowControl/>
              <w:suppressLineNumbers w:val="0"/>
              <w:spacing w:line="336" w:lineRule="atLeast"/>
              <w:ind w:left="0" w:firstLine="0"/>
              <w:jc w:val="center"/>
              <w:rPr>
                <w:sz w:val="24"/>
                <w:szCs w:val="24"/>
              </w:rPr>
            </w:pPr>
            <w:r>
              <w:rPr>
                <w:rFonts w:ascii="宋体" w:hAnsi="宋体" w:eastAsia="宋体" w:cs="宋体"/>
                <w:kern w:val="0"/>
                <w:sz w:val="24"/>
                <w:szCs w:val="24"/>
                <w:bdr w:val="none" w:color="auto" w:sz="0" w:space="0"/>
                <w:lang w:val="en-US" w:eastAsia="zh-CN" w:bidi="ar"/>
              </w:rPr>
              <w:t> </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keepNext w:val="0"/>
              <w:keepLines w:val="0"/>
              <w:widowControl/>
              <w:suppressLineNumbers w:val="0"/>
              <w:spacing w:line="336" w:lineRule="atLeast"/>
              <w:ind w:left="0" w:firstLine="0"/>
              <w:jc w:val="center"/>
              <w:rPr>
                <w:sz w:val="24"/>
                <w:szCs w:val="24"/>
              </w:rPr>
            </w:pPr>
            <w:r>
              <w:rPr>
                <w:rFonts w:ascii="宋体" w:hAnsi="宋体" w:eastAsia="宋体" w:cs="宋体"/>
                <w:kern w:val="0"/>
                <w:sz w:val="24"/>
                <w:szCs w:val="24"/>
                <w:bdr w:val="none" w:color="auto" w:sz="0" w:space="0"/>
                <w:lang w:val="en-US" w:eastAsia="zh-CN" w:bidi="ar"/>
              </w:rPr>
              <w:t> </w:t>
            </w:r>
          </w:p>
        </w:tc>
        <w:tc>
          <w:tcPr>
            <w:tcW w:w="0" w:type="auto"/>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keepNext w:val="0"/>
              <w:keepLines w:val="0"/>
              <w:widowControl/>
              <w:suppressLineNumbers w:val="0"/>
              <w:spacing w:line="336" w:lineRule="atLeast"/>
              <w:ind w:left="0" w:firstLine="0"/>
              <w:jc w:val="center"/>
              <w:rPr>
                <w:sz w:val="24"/>
                <w:szCs w:val="24"/>
              </w:rPr>
            </w:pPr>
            <w:r>
              <w:rPr>
                <w:rFonts w:ascii="宋体" w:hAnsi="宋体" w:eastAsia="宋体" w:cs="宋体"/>
                <w:kern w:val="0"/>
                <w:sz w:val="24"/>
                <w:szCs w:val="24"/>
                <w:bdr w:val="none" w:color="auto" w:sz="0" w:space="0"/>
                <w:lang w:val="en-US" w:eastAsia="zh-CN" w:bidi="ar"/>
              </w:rPr>
              <w:t> </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gridSpan w:val="7"/>
            <w:tcBorders>
              <w:top w:val="outset" w:color="auto" w:sz="6" w:space="0"/>
              <w:left w:val="outset" w:color="auto" w:sz="6" w:space="0"/>
              <w:bottom w:val="single" w:color="CCCCCC" w:sz="4" w:space="0"/>
              <w:right w:val="single" w:color="CCCCCC" w:sz="4" w:space="0"/>
            </w:tcBorders>
            <w:shd w:val="clear"/>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备注：教学岗位（硕士研究生）、实验员岗位、辅导员岗位、管理岗位等由学校统一发布招聘信息，具体请关注学校人事处网页。</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 xml:space="preserve">， </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Style w:val="11"/>
          <w:rFonts w:hint="default" w:ascii="Verdana" w:hAnsi="Verdana" w:eastAsia="宋体" w:cs="Verdana"/>
          <w:i w:val="0"/>
          <w:iCs w:val="0"/>
          <w:caps w:val="0"/>
          <w:color w:val="FF0000"/>
          <w:spacing w:val="0"/>
          <w:sz w:val="24"/>
          <w:szCs w:val="24"/>
        </w:rPr>
        <w:t>904560179</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w:t>
      </w:r>
      <w:r>
        <w:rPr>
          <w:rFonts w:hint="eastAsia" w:ascii="宋体" w:hAnsi="宋体" w:eastAsia="宋体" w:cs="宋体"/>
          <w:color w:val="FF0000"/>
          <w:sz w:val="24"/>
          <w:szCs w:val="24"/>
        </w:rPr>
        <w:t>客服</w:t>
      </w:r>
      <w:r>
        <w:rPr>
          <w:rFonts w:hint="eastAsia" w:ascii="宋体" w:hAnsi="宋体" w:eastAsia="宋体" w:cs="宋体"/>
          <w:color w:val="auto"/>
          <w:sz w:val="24"/>
          <w:szCs w:val="24"/>
        </w:rPr>
        <w:t>惠惠儿老师</w:t>
      </w:r>
      <w:r>
        <w:rPr>
          <w:rFonts w:hint="eastAsia" w:ascii="宋体" w:hAnsi="宋体" w:eastAsia="宋体" w:cs="宋体"/>
          <w:color w:val="FF0000"/>
          <w:sz w:val="24"/>
          <w:szCs w:val="24"/>
        </w:rPr>
        <w:t>微信号码：15210763946</w:t>
      </w:r>
      <w:r>
        <w:rPr>
          <w:rFonts w:hint="eastAsia" w:ascii="宋体" w:hAnsi="宋体" w:eastAsia="宋体" w:cs="宋体"/>
          <w:color w:val="FF0000"/>
          <w:sz w:val="24"/>
          <w:szCs w:val="24"/>
          <w:lang w:val="en-US" w:eastAsia="zh-CN"/>
        </w:rPr>
        <w:t>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5505450" cy="2480945"/>
            <wp:effectExtent l="0" t="0" r="11430" b="317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505450" cy="2480945"/>
                    </a:xfrm>
                    <a:prstGeom prst="rect">
                      <a:avLst/>
                    </a:prstGeom>
                    <a:noFill/>
                    <a:ln w="9525">
                      <a:noFill/>
                    </a:ln>
                  </pic:spPr>
                </pic:pic>
              </a:graphicData>
            </a:graphic>
          </wp:inline>
        </w:drawing>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4EE0"/>
    <w:rsid w:val="068A44F0"/>
    <w:rsid w:val="09872C57"/>
    <w:rsid w:val="0CC06E77"/>
    <w:rsid w:val="0D193F09"/>
    <w:rsid w:val="0FAA4354"/>
    <w:rsid w:val="0FB874A4"/>
    <w:rsid w:val="14674D1C"/>
    <w:rsid w:val="147F4C92"/>
    <w:rsid w:val="14B4453A"/>
    <w:rsid w:val="165252AD"/>
    <w:rsid w:val="17E102E4"/>
    <w:rsid w:val="197310E2"/>
    <w:rsid w:val="197856F4"/>
    <w:rsid w:val="19F61AB2"/>
    <w:rsid w:val="1A373139"/>
    <w:rsid w:val="1D7A0CFC"/>
    <w:rsid w:val="21134AD8"/>
    <w:rsid w:val="24580E6E"/>
    <w:rsid w:val="247479B7"/>
    <w:rsid w:val="28A3523A"/>
    <w:rsid w:val="28B450FC"/>
    <w:rsid w:val="28F940AD"/>
    <w:rsid w:val="2B120F8C"/>
    <w:rsid w:val="2E531BE2"/>
    <w:rsid w:val="314D4C40"/>
    <w:rsid w:val="32A77C15"/>
    <w:rsid w:val="38F03729"/>
    <w:rsid w:val="39371855"/>
    <w:rsid w:val="3A427D7E"/>
    <w:rsid w:val="3AB918A1"/>
    <w:rsid w:val="3B913AA4"/>
    <w:rsid w:val="3BB37D4C"/>
    <w:rsid w:val="3CEA7B05"/>
    <w:rsid w:val="3DF56999"/>
    <w:rsid w:val="3E92015B"/>
    <w:rsid w:val="3F7C6224"/>
    <w:rsid w:val="41717E98"/>
    <w:rsid w:val="41722A03"/>
    <w:rsid w:val="4653603B"/>
    <w:rsid w:val="49A21BA8"/>
    <w:rsid w:val="4C0731ED"/>
    <w:rsid w:val="512B75BB"/>
    <w:rsid w:val="52C1090F"/>
    <w:rsid w:val="56061EFD"/>
    <w:rsid w:val="586F1923"/>
    <w:rsid w:val="58762146"/>
    <w:rsid w:val="5A900BEA"/>
    <w:rsid w:val="5BCF6CF7"/>
    <w:rsid w:val="5CA12FA0"/>
    <w:rsid w:val="5EA31278"/>
    <w:rsid w:val="61A82188"/>
    <w:rsid w:val="659F265C"/>
    <w:rsid w:val="6628055F"/>
    <w:rsid w:val="6E796040"/>
    <w:rsid w:val="70E65CA3"/>
    <w:rsid w:val="720F4553"/>
    <w:rsid w:val="72A82C37"/>
    <w:rsid w:val="72FF353B"/>
    <w:rsid w:val="73AF2CDC"/>
    <w:rsid w:val="7532297B"/>
    <w:rsid w:val="75A67861"/>
    <w:rsid w:val="75C24340"/>
    <w:rsid w:val="7A772BA1"/>
    <w:rsid w:val="7B2D6662"/>
    <w:rsid w:val="7DEA6DD7"/>
    <w:rsid w:val="7E01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2022-01-04T03:53:25Z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468A9DA0C1994F43A76EB771EE12B21B</vt:lpwstr>
  </property>
</Properties>
</file>